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1"/>
        <w:tblpPr w:leftFromText="141" w:rightFromText="141" w:vertAnchor="text" w:horzAnchor="margin"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3505F" w:rsidRPr="00A3505F" w:rsidTr="00A3505F">
        <w:tc>
          <w:tcPr>
            <w:tcW w:w="4531" w:type="dxa"/>
          </w:tcPr>
          <w:p w:rsidR="00A3505F" w:rsidRDefault="00A3505F" w:rsidP="00A3505F">
            <w:pPr>
              <w:spacing w:after="20"/>
            </w:pPr>
            <w:bookmarkStart w:id="0" w:name="_Toc18076095"/>
            <w:r w:rsidRPr="00A3505F">
              <w:rPr>
                <w:noProof/>
                <w:lang w:val="en-GB" w:eastAsia="en-GB"/>
              </w:rPr>
              <w:drawing>
                <wp:inline distT="0" distB="0" distL="0" distR="0" wp14:anchorId="2F32B685" wp14:editId="4790E601">
                  <wp:extent cx="1348740" cy="1503906"/>
                  <wp:effectExtent l="0" t="0" r="3810" b="127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6786" t="13815" r="35846" b="12110"/>
                          <a:stretch/>
                        </pic:blipFill>
                        <pic:spPr bwMode="auto">
                          <a:xfrm>
                            <a:off x="0" y="0"/>
                            <a:ext cx="1367545" cy="1524874"/>
                          </a:xfrm>
                          <a:prstGeom prst="rect">
                            <a:avLst/>
                          </a:prstGeom>
                          <a:ln>
                            <a:noFill/>
                          </a:ln>
                          <a:extLst>
                            <a:ext uri="{53640926-AAD7-44D8-BBD7-CCE9431645EC}">
                              <a14:shadowObscured xmlns:a14="http://schemas.microsoft.com/office/drawing/2010/main"/>
                            </a:ext>
                          </a:extLst>
                        </pic:spPr>
                      </pic:pic>
                    </a:graphicData>
                  </a:graphic>
                </wp:inline>
              </w:drawing>
            </w:r>
          </w:p>
          <w:p w:rsidR="00A3505F" w:rsidRPr="00A3505F" w:rsidRDefault="00A3505F" w:rsidP="00A3505F">
            <w:pPr>
              <w:spacing w:after="20"/>
            </w:pPr>
          </w:p>
        </w:tc>
        <w:tc>
          <w:tcPr>
            <w:tcW w:w="4531" w:type="dxa"/>
          </w:tcPr>
          <w:p w:rsidR="00A3505F" w:rsidRPr="00A3505F" w:rsidRDefault="008A536B" w:rsidP="00A3505F">
            <w:pPr>
              <w:spacing w:after="20"/>
              <w:jc w:val="right"/>
            </w:pPr>
            <w:r>
              <w:rPr>
                <w:noProof/>
                <w:lang w:val="en-GB" w:eastAsia="en-GB"/>
              </w:rPr>
              <w:drawing>
                <wp:anchor distT="0" distB="0" distL="114300" distR="114300" simplePos="0" relativeHeight="251669504" behindDoc="0" locked="0" layoutInCell="1" allowOverlap="1" wp14:anchorId="52179BFB" wp14:editId="6EC7BE74">
                  <wp:simplePos x="0" y="0"/>
                  <wp:positionH relativeFrom="column">
                    <wp:posOffset>604519</wp:posOffset>
                  </wp:positionH>
                  <wp:positionV relativeFrom="paragraph">
                    <wp:posOffset>71120</wp:posOffset>
                  </wp:positionV>
                  <wp:extent cx="2472105" cy="1554480"/>
                  <wp:effectExtent l="0" t="0" r="4445" b="7620"/>
                  <wp:wrapNone/>
                  <wp:docPr id="3"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9778" cy="1559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505F" w:rsidRPr="00A3505F" w:rsidRDefault="00A3505F" w:rsidP="00A3505F">
            <w:pPr>
              <w:spacing w:after="20"/>
              <w:jc w:val="center"/>
            </w:pPr>
          </w:p>
        </w:tc>
      </w:tr>
    </w:tbl>
    <w:sdt>
      <w:sdtPr>
        <w:id w:val="-1171331151"/>
        <w:docPartObj>
          <w:docPartGallery w:val="Cover Pages"/>
          <w:docPartUnique/>
        </w:docPartObj>
      </w:sdtPr>
      <w:sdtEndPr>
        <w:rPr>
          <w:noProof/>
        </w:rPr>
      </w:sdtEndPr>
      <w:sdtContent>
        <w:p w:rsidR="001D3C5D" w:rsidRPr="00927F04" w:rsidRDefault="00A3505F" w:rsidP="00927F04">
          <w:pPr>
            <w:spacing w:after="20"/>
            <w:rPr>
              <w:rFonts w:cstheme="minorHAnsi"/>
              <w:b/>
              <w:noProof/>
              <w:color w:val="FF0000"/>
              <w:szCs w:val="24"/>
            </w:rPr>
          </w:pPr>
          <w:r w:rsidRPr="00A3505F">
            <w:rPr>
              <w:noProof/>
              <w:lang w:val="en-GB" w:eastAsia="en-GB"/>
            </w:rPr>
            <mc:AlternateContent>
              <mc:Choice Requires="wps">
                <w:drawing>
                  <wp:anchor distT="0" distB="0" distL="114300" distR="114300" simplePos="0" relativeHeight="251664384" behindDoc="1" locked="0" layoutInCell="1" allowOverlap="1" wp14:anchorId="64B36283" wp14:editId="50D71BCC">
                    <wp:simplePos x="0" y="0"/>
                    <wp:positionH relativeFrom="column">
                      <wp:posOffset>-1027430</wp:posOffset>
                    </wp:positionH>
                    <wp:positionV relativeFrom="paragraph">
                      <wp:posOffset>-906780</wp:posOffset>
                    </wp:positionV>
                    <wp:extent cx="7719060" cy="10767695"/>
                    <wp:effectExtent l="0" t="0" r="15240" b="14605"/>
                    <wp:wrapNone/>
                    <wp:docPr id="14" name="Rectangle 14"/>
                    <wp:cNvGraphicFramePr/>
                    <a:graphic xmlns:a="http://schemas.openxmlformats.org/drawingml/2006/main">
                      <a:graphicData uri="http://schemas.microsoft.com/office/word/2010/wordprocessingShape">
                        <wps:wsp>
                          <wps:cNvSpPr/>
                          <wps:spPr>
                            <a:xfrm>
                              <a:off x="0" y="0"/>
                              <a:ext cx="7719060" cy="10767695"/>
                            </a:xfrm>
                            <a:prstGeom prst="rect">
                              <a:avLst/>
                            </a:prstGeom>
                            <a:solidFill>
                              <a:srgbClr val="254071"/>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C3F2A3B" id="Rectangle 14" o:spid="_x0000_s1026" style="position:absolute;margin-left:-80.9pt;margin-top:-71.4pt;width:607.8pt;height:847.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" fillcolor="#254071" strokecolor="#41719c" strokeweight="1pt"/>
                </w:pict>
              </mc:Fallback>
            </mc:AlternateContent>
          </w:r>
          <w:r w:rsidRPr="00A3505F">
            <w:rPr>
              <w:noProof/>
              <w:lang w:val="en-GB" w:eastAsia="en-GB"/>
            </w:rPr>
            <mc:AlternateContent>
              <mc:Choice Requires="wps">
                <w:drawing>
                  <wp:anchor distT="0" distB="0" distL="114300" distR="114300" simplePos="0" relativeHeight="251665408" behindDoc="1" locked="0" layoutInCell="1" allowOverlap="1" wp14:anchorId="675243A3" wp14:editId="59F9BEF2">
                    <wp:simplePos x="0" y="0"/>
                    <wp:positionH relativeFrom="column">
                      <wp:posOffset>-537845</wp:posOffset>
                    </wp:positionH>
                    <wp:positionV relativeFrom="paragraph">
                      <wp:posOffset>-540385</wp:posOffset>
                    </wp:positionV>
                    <wp:extent cx="6814800" cy="10026000"/>
                    <wp:effectExtent l="0" t="0" r="24765" b="13970"/>
                    <wp:wrapNone/>
                    <wp:docPr id="15" name="Rectangle 15"/>
                    <wp:cNvGraphicFramePr/>
                    <a:graphic xmlns:a="http://schemas.openxmlformats.org/drawingml/2006/main">
                      <a:graphicData uri="http://schemas.microsoft.com/office/word/2010/wordprocessingShape">
                        <wps:wsp>
                          <wps:cNvSpPr/>
                          <wps:spPr>
                            <a:xfrm>
                              <a:off x="0" y="0"/>
                              <a:ext cx="6814800" cy="10026000"/>
                            </a:xfrm>
                            <a:prstGeom prst="rect">
                              <a:avLst/>
                            </a:prstGeom>
                            <a:solidFill>
                              <a:sysClr val="window" lastClr="FFFFFF"/>
                            </a:solid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24AB84" id="Rectangle 15" o:spid="_x0000_s1026" style="position:absolute;margin-left:-42.35pt;margin-top:-42.55pt;width:536.6pt;height:789.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" fillcolor="window" strokecolor="white [3212]" strokeweight="1pt"/>
                </w:pict>
              </mc:Fallback>
            </mc:AlternateContent>
          </w:r>
        </w:p>
        <w:p w:rsidR="00A3505F" w:rsidRPr="00A3505F" w:rsidRDefault="00A3505F" w:rsidP="00A3505F">
          <w:pPr>
            <w:tabs>
              <w:tab w:val="left" w:pos="2786"/>
              <w:tab w:val="left" w:pos="4008"/>
            </w:tabs>
            <w:spacing w:after="20"/>
          </w:pPr>
        </w:p>
        <w:p w:rsidR="00A3505F" w:rsidRPr="00A3505F" w:rsidRDefault="00A3505F" w:rsidP="00A3505F">
          <w:pPr>
            <w:tabs>
              <w:tab w:val="left" w:pos="2786"/>
              <w:tab w:val="left" w:pos="4008"/>
            </w:tabs>
            <w:spacing w:after="20"/>
          </w:pPr>
          <w:r w:rsidRPr="00A3505F">
            <w:tab/>
          </w:r>
        </w:p>
        <w:p w:rsidR="00A3505F" w:rsidRPr="00A3505F" w:rsidRDefault="00A3505F" w:rsidP="00A3505F">
          <w:pPr>
            <w:spacing w:after="20" w:line="216" w:lineRule="auto"/>
            <w:jc w:val="center"/>
            <w:rPr>
              <w:rFonts w:eastAsiaTheme="minorEastAsia" w:cstheme="minorHAnsi"/>
              <w:noProof/>
              <w:color w:val="1E345C"/>
              <w:sz w:val="64"/>
              <w:szCs w:val="64"/>
            </w:rPr>
          </w:pPr>
          <w:r w:rsidRPr="00A3505F">
            <w:rPr>
              <w:rFonts w:eastAsiaTheme="minorEastAsia" w:cstheme="minorHAnsi"/>
              <w:noProof/>
              <w:color w:val="254071"/>
              <w:sz w:val="64"/>
              <w:szCs w:val="64"/>
              <w:lang w:val="en-GB" w:eastAsia="en-GB"/>
            </w:rPr>
            <mc:AlternateContent>
              <mc:Choice Requires="wps">
                <w:drawing>
                  <wp:anchor distT="0" distB="0" distL="114300" distR="114300" simplePos="0" relativeHeight="251666432" behindDoc="0" locked="0" layoutInCell="1" allowOverlap="1" wp14:anchorId="5D1F37FB" wp14:editId="11B391DF">
                    <wp:simplePos x="0" y="0"/>
                    <wp:positionH relativeFrom="column">
                      <wp:posOffset>194945</wp:posOffset>
                    </wp:positionH>
                    <wp:positionV relativeFrom="paragraph">
                      <wp:posOffset>45984</wp:posOffset>
                    </wp:positionV>
                    <wp:extent cx="5419090" cy="45085"/>
                    <wp:effectExtent l="0" t="0" r="10160" b="12065"/>
                    <wp:wrapNone/>
                    <wp:docPr id="16" name="Organigramme : Terminateur 16"/>
                    <wp:cNvGraphicFramePr/>
                    <a:graphic xmlns:a="http://schemas.openxmlformats.org/drawingml/2006/main">
                      <a:graphicData uri="http://schemas.microsoft.com/office/word/2010/wordprocessingShape">
                        <wps:wsp>
                          <wps:cNvSpPr/>
                          <wps:spPr>
                            <a:xfrm>
                              <a:off x="0" y="0"/>
                              <a:ext cx="5419090" cy="45085"/>
                            </a:xfrm>
                            <a:prstGeom prst="flowChartTerminator">
                              <a:avLst/>
                            </a:prstGeom>
                            <a:solidFill>
                              <a:srgbClr val="254071"/>
                            </a:solidFill>
                            <a:ln w="12700" cap="flat" cmpd="sng" algn="ctr">
                              <a:solidFill>
                                <a:srgbClr val="25407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14446D" id="_x0000_t116" coordsize="21600,21600" o:spt="116" path="m3475,qx,10800,3475,21600l18125,21600qx21600,10800,18125,xe">
                    <v:stroke joinstyle="miter"/>
                    <v:path gradientshapeok="t" o:connecttype="rect" textboxrect="1018,3163,20582,18437"/>
                  </v:shapetype>
                  <v:shape id="Organigramme : Terminateur 16" o:spid="_x0000_s1026" type="#_x0000_t116" style="position:absolute;margin-left:15.35pt;margin-top:3.6pt;width:426.7pt;height:3.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" fillcolor="#254071" strokecolor="#254071" strokeweight="1pt"/>
                </w:pict>
              </mc:Fallback>
            </mc:AlternateContent>
          </w:r>
        </w:p>
        <w:p w:rsidR="00A3505F" w:rsidRPr="00A3505F" w:rsidRDefault="00A3505F" w:rsidP="00A3505F">
          <w:pPr>
            <w:spacing w:after="20" w:line="216" w:lineRule="auto"/>
            <w:jc w:val="center"/>
            <w:rPr>
              <w:rFonts w:eastAsiaTheme="minorEastAsia" w:cstheme="minorHAnsi"/>
              <w:noProof/>
              <w:color w:val="1E345C"/>
              <w:sz w:val="64"/>
              <w:szCs w:val="64"/>
            </w:rPr>
          </w:pPr>
          <w:r w:rsidRPr="00A3505F">
            <w:rPr>
              <w:rFonts w:eastAsiaTheme="minorEastAsia" w:cstheme="minorHAnsi"/>
              <w:noProof/>
              <w:color w:val="1E345C"/>
              <w:sz w:val="64"/>
              <w:szCs w:val="64"/>
            </w:rPr>
            <w:t xml:space="preserve">CONVENTION RELATIVE AUX DROITS DES PERSONNES HANDICAPEES </w:t>
          </w:r>
        </w:p>
        <w:p w:rsidR="00A3505F" w:rsidRPr="00A3505F" w:rsidRDefault="00A3505F" w:rsidP="00A3505F">
          <w:pPr>
            <w:tabs>
              <w:tab w:val="left" w:pos="5438"/>
            </w:tabs>
            <w:spacing w:after="20" w:line="216" w:lineRule="auto"/>
            <w:rPr>
              <w:rFonts w:eastAsiaTheme="minorEastAsia" w:cstheme="minorHAnsi"/>
              <w:noProof/>
              <w:color w:val="1E345C"/>
              <w:sz w:val="24"/>
              <w:szCs w:val="24"/>
            </w:rPr>
          </w:pPr>
          <w:r w:rsidRPr="00A3505F">
            <w:rPr>
              <w:rFonts w:eastAsiaTheme="minorEastAsia" w:cstheme="minorHAnsi"/>
              <w:noProof/>
              <w:color w:val="1E345C"/>
              <w:sz w:val="64"/>
              <w:szCs w:val="64"/>
            </w:rPr>
            <w:tab/>
          </w:r>
        </w:p>
        <w:p w:rsidR="00A3505F" w:rsidRPr="00A3505F" w:rsidRDefault="00A3505F" w:rsidP="00A3505F">
          <w:pPr>
            <w:tabs>
              <w:tab w:val="center" w:pos="4536"/>
              <w:tab w:val="left" w:pos="8167"/>
            </w:tabs>
            <w:spacing w:after="20" w:line="216" w:lineRule="auto"/>
            <w:rPr>
              <w:rFonts w:eastAsiaTheme="minorEastAsia" w:cstheme="minorHAnsi"/>
              <w:noProof/>
              <w:color w:val="1E345C"/>
              <w:sz w:val="32"/>
              <w:szCs w:val="32"/>
            </w:rPr>
          </w:pPr>
          <w:r w:rsidRPr="00A3505F">
            <w:rPr>
              <w:rFonts w:eastAsiaTheme="minorEastAsia" w:cstheme="minorHAnsi"/>
              <w:noProof/>
              <w:color w:val="254071"/>
              <w:sz w:val="64"/>
              <w:szCs w:val="64"/>
              <w:lang w:val="en-GB" w:eastAsia="en-GB"/>
            </w:rPr>
            <mc:AlternateContent>
              <mc:Choice Requires="wps">
                <w:drawing>
                  <wp:anchor distT="0" distB="0" distL="114300" distR="114300" simplePos="0" relativeHeight="251667456" behindDoc="0" locked="0" layoutInCell="1" allowOverlap="1" wp14:anchorId="30EFCAE4" wp14:editId="7A474D1D">
                    <wp:simplePos x="0" y="0"/>
                    <wp:positionH relativeFrom="column">
                      <wp:posOffset>132715</wp:posOffset>
                    </wp:positionH>
                    <wp:positionV relativeFrom="paragraph">
                      <wp:posOffset>219075</wp:posOffset>
                    </wp:positionV>
                    <wp:extent cx="5419407" cy="45719"/>
                    <wp:effectExtent l="0" t="0" r="10160" b="12065"/>
                    <wp:wrapNone/>
                    <wp:docPr id="17" name="Organigramme : Terminateur 17"/>
                    <wp:cNvGraphicFramePr/>
                    <a:graphic xmlns:a="http://schemas.openxmlformats.org/drawingml/2006/main">
                      <a:graphicData uri="http://schemas.microsoft.com/office/word/2010/wordprocessingShape">
                        <wps:wsp>
                          <wps:cNvSpPr/>
                          <wps:spPr>
                            <a:xfrm>
                              <a:off x="0" y="0"/>
                              <a:ext cx="5419407" cy="45719"/>
                            </a:xfrm>
                            <a:prstGeom prst="flowChartTerminator">
                              <a:avLst/>
                            </a:prstGeom>
                            <a:solidFill>
                              <a:srgbClr val="254071"/>
                            </a:solidFill>
                            <a:ln w="12700" cap="flat" cmpd="sng" algn="ctr">
                              <a:solidFill>
                                <a:srgbClr val="25407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E106AD" id="Organigramme : Terminateur 17" o:spid="_x0000_s1026" type="#_x0000_t116" style="position:absolute;margin-left:10.45pt;margin-top:17.25pt;width:426.7pt;height:3.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" fillcolor="#254071" strokecolor="#254071" strokeweight="1pt"/>
                </w:pict>
              </mc:Fallback>
            </mc:AlternateContent>
          </w:r>
          <w:r w:rsidRPr="00A3505F">
            <w:rPr>
              <w:rFonts w:eastAsiaTheme="minorEastAsia" w:cstheme="minorHAnsi"/>
              <w:noProof/>
              <w:color w:val="1E345C"/>
              <w:sz w:val="64"/>
              <w:szCs w:val="64"/>
            </w:rPr>
            <w:tab/>
          </w:r>
        </w:p>
        <w:p w:rsidR="00A3505F" w:rsidRPr="00A3505F" w:rsidRDefault="00A3505F" w:rsidP="00A3505F">
          <w:pPr>
            <w:tabs>
              <w:tab w:val="center" w:pos="4536"/>
              <w:tab w:val="left" w:pos="8167"/>
            </w:tabs>
            <w:spacing w:after="20" w:line="216" w:lineRule="auto"/>
            <w:rPr>
              <w:rFonts w:eastAsiaTheme="minorEastAsia" w:cstheme="minorHAnsi"/>
              <w:noProof/>
              <w:color w:val="1E345C"/>
              <w:sz w:val="64"/>
              <w:szCs w:val="64"/>
            </w:rPr>
          </w:pPr>
        </w:p>
        <w:p w:rsidR="00A3505F" w:rsidRPr="00A3505F" w:rsidRDefault="00A3505F" w:rsidP="00A3505F">
          <w:pPr>
            <w:spacing w:after="20" w:line="216" w:lineRule="auto"/>
            <w:jc w:val="center"/>
            <w:rPr>
              <w:rFonts w:eastAsiaTheme="minorEastAsia" w:cstheme="minorHAnsi"/>
              <w:i/>
              <w:noProof/>
              <w:color w:val="1E345C"/>
              <w:sz w:val="56"/>
              <w:szCs w:val="56"/>
            </w:rPr>
          </w:pPr>
          <w:r w:rsidRPr="00A3505F">
            <w:rPr>
              <w:rFonts w:eastAsiaTheme="minorEastAsia" w:cstheme="minorHAnsi"/>
              <w:i/>
              <w:noProof/>
              <w:color w:val="1E345C"/>
              <w:sz w:val="56"/>
              <w:szCs w:val="56"/>
            </w:rPr>
            <w:t>Rapport alternatif de la société civile française</w:t>
          </w:r>
        </w:p>
        <w:p w:rsidR="00A3505F" w:rsidRPr="00A3505F" w:rsidRDefault="00A3505F" w:rsidP="00A3505F">
          <w:pPr>
            <w:spacing w:after="20" w:line="216" w:lineRule="auto"/>
            <w:jc w:val="center"/>
            <w:rPr>
              <w:rFonts w:eastAsiaTheme="minorEastAsia" w:cstheme="minorHAnsi"/>
              <w:noProof/>
              <w:color w:val="1E345C"/>
              <w:sz w:val="24"/>
              <w:szCs w:val="24"/>
            </w:rPr>
          </w:pPr>
        </w:p>
        <w:p w:rsidR="00A3505F" w:rsidRPr="00A3505F" w:rsidRDefault="00A3505F" w:rsidP="00A3505F">
          <w:pPr>
            <w:spacing w:after="20" w:line="216" w:lineRule="auto"/>
            <w:jc w:val="center"/>
            <w:rPr>
              <w:rFonts w:eastAsiaTheme="minorEastAsia" w:cstheme="minorHAnsi"/>
              <w:noProof/>
              <w:color w:val="1E345C"/>
              <w:sz w:val="24"/>
              <w:szCs w:val="24"/>
            </w:rPr>
          </w:pPr>
        </w:p>
        <w:p w:rsidR="00A3505F" w:rsidRPr="00A3505F" w:rsidRDefault="00A3505F" w:rsidP="00A3505F">
          <w:pPr>
            <w:spacing w:after="20" w:line="216" w:lineRule="auto"/>
            <w:jc w:val="center"/>
            <w:rPr>
              <w:rFonts w:eastAsiaTheme="minorEastAsia" w:cstheme="minorHAnsi"/>
              <w:noProof/>
              <w:color w:val="1E345C"/>
              <w:sz w:val="24"/>
              <w:szCs w:val="24"/>
            </w:rPr>
          </w:pPr>
        </w:p>
        <w:p w:rsidR="00A3505F" w:rsidRPr="00A3505F" w:rsidRDefault="00A3505F" w:rsidP="00A3505F">
          <w:pPr>
            <w:spacing w:after="20" w:line="216" w:lineRule="auto"/>
            <w:jc w:val="center"/>
            <w:rPr>
              <w:rFonts w:eastAsiaTheme="minorEastAsia" w:cstheme="minorHAnsi"/>
              <w:noProof/>
              <w:color w:val="1E345C"/>
              <w:sz w:val="24"/>
              <w:szCs w:val="24"/>
            </w:rPr>
          </w:pPr>
        </w:p>
        <w:p w:rsidR="00A3505F" w:rsidRPr="00A3505F" w:rsidRDefault="00A3505F" w:rsidP="00A3505F">
          <w:pPr>
            <w:spacing w:after="20" w:line="216" w:lineRule="auto"/>
            <w:jc w:val="center"/>
            <w:rPr>
              <w:rFonts w:eastAsiaTheme="minorEastAsia" w:cstheme="minorHAnsi"/>
              <w:noProof/>
              <w:color w:val="1E345C"/>
              <w:sz w:val="24"/>
              <w:szCs w:val="24"/>
            </w:rPr>
          </w:pPr>
        </w:p>
        <w:p w:rsidR="00A3505F" w:rsidRPr="00A3505F" w:rsidRDefault="00A3505F" w:rsidP="00A3505F">
          <w:pPr>
            <w:spacing w:after="20" w:line="216" w:lineRule="auto"/>
            <w:jc w:val="center"/>
            <w:rPr>
              <w:rFonts w:eastAsiaTheme="minorEastAsia" w:cstheme="minorHAnsi"/>
              <w:noProof/>
              <w:color w:val="1E345C"/>
              <w:sz w:val="24"/>
              <w:szCs w:val="24"/>
            </w:rPr>
          </w:pPr>
        </w:p>
        <w:p w:rsidR="00A3505F" w:rsidRPr="00A3505F" w:rsidRDefault="00A3505F" w:rsidP="00A3505F">
          <w:pPr>
            <w:spacing w:after="20" w:line="216" w:lineRule="auto"/>
            <w:jc w:val="center"/>
            <w:rPr>
              <w:rFonts w:eastAsiaTheme="minorEastAsia" w:cstheme="minorHAnsi"/>
              <w:noProof/>
              <w:color w:val="1E345C"/>
              <w:sz w:val="24"/>
              <w:szCs w:val="24"/>
            </w:rPr>
          </w:pPr>
        </w:p>
        <w:p w:rsidR="00A3505F" w:rsidRPr="00A3505F" w:rsidRDefault="00A3505F" w:rsidP="00A3505F">
          <w:pPr>
            <w:spacing w:after="20" w:line="216" w:lineRule="auto"/>
            <w:jc w:val="center"/>
            <w:rPr>
              <w:rFonts w:eastAsiaTheme="minorEastAsia" w:cstheme="minorHAnsi"/>
              <w:noProof/>
              <w:color w:val="1E345C"/>
              <w:sz w:val="24"/>
              <w:szCs w:val="24"/>
            </w:rPr>
          </w:pPr>
        </w:p>
        <w:p w:rsidR="00A3505F" w:rsidRPr="00A3505F" w:rsidRDefault="00A3505F" w:rsidP="00A3505F">
          <w:pPr>
            <w:spacing w:after="20" w:line="216" w:lineRule="auto"/>
            <w:jc w:val="center"/>
            <w:rPr>
              <w:rFonts w:eastAsiaTheme="minorEastAsia" w:cstheme="minorHAnsi"/>
              <w:noProof/>
              <w:color w:val="1E345C"/>
              <w:sz w:val="24"/>
              <w:szCs w:val="24"/>
            </w:rPr>
          </w:pPr>
        </w:p>
        <w:p w:rsidR="00A3505F" w:rsidRPr="00A3505F" w:rsidRDefault="00A3505F" w:rsidP="00A3505F">
          <w:pPr>
            <w:spacing w:after="20" w:line="216" w:lineRule="auto"/>
            <w:jc w:val="center"/>
            <w:rPr>
              <w:rFonts w:eastAsiaTheme="minorEastAsia" w:cstheme="minorHAnsi"/>
              <w:noProof/>
              <w:color w:val="1E345C"/>
              <w:sz w:val="24"/>
              <w:szCs w:val="24"/>
            </w:rPr>
          </w:pPr>
        </w:p>
        <w:p w:rsidR="00A3505F" w:rsidRDefault="00A3505F" w:rsidP="00A3505F">
          <w:pPr>
            <w:spacing w:after="20" w:line="216" w:lineRule="auto"/>
            <w:jc w:val="center"/>
            <w:rPr>
              <w:rFonts w:eastAsiaTheme="minorEastAsia" w:cstheme="minorHAnsi"/>
              <w:noProof/>
              <w:color w:val="1E345C"/>
              <w:sz w:val="24"/>
              <w:szCs w:val="24"/>
            </w:rPr>
          </w:pPr>
        </w:p>
        <w:p w:rsidR="0059574F" w:rsidRPr="00A3505F" w:rsidRDefault="0059574F" w:rsidP="00A3505F">
          <w:pPr>
            <w:spacing w:after="20" w:line="216" w:lineRule="auto"/>
            <w:jc w:val="center"/>
            <w:rPr>
              <w:rFonts w:eastAsiaTheme="minorEastAsia" w:cstheme="minorHAnsi"/>
              <w:noProof/>
              <w:color w:val="1E345C"/>
              <w:sz w:val="24"/>
              <w:szCs w:val="24"/>
            </w:rPr>
          </w:pPr>
        </w:p>
        <w:p w:rsidR="00A3505F" w:rsidRPr="00A3505F" w:rsidRDefault="00A3505F" w:rsidP="00A3505F">
          <w:pPr>
            <w:spacing w:after="20" w:line="216" w:lineRule="auto"/>
            <w:jc w:val="center"/>
            <w:rPr>
              <w:rFonts w:eastAsiaTheme="minorEastAsia" w:cstheme="minorHAnsi"/>
              <w:noProof/>
              <w:color w:val="1E345C"/>
              <w:sz w:val="24"/>
              <w:szCs w:val="24"/>
            </w:rPr>
          </w:pPr>
        </w:p>
        <w:p w:rsidR="00A3505F" w:rsidRPr="00A3505F" w:rsidRDefault="00A3505F" w:rsidP="00A3505F">
          <w:pPr>
            <w:spacing w:after="20" w:line="216" w:lineRule="auto"/>
            <w:jc w:val="center"/>
            <w:rPr>
              <w:rFonts w:eastAsiaTheme="minorEastAsia" w:cstheme="minorHAnsi"/>
              <w:noProof/>
              <w:color w:val="1E345C"/>
              <w:sz w:val="24"/>
              <w:szCs w:val="24"/>
            </w:rPr>
          </w:pPr>
        </w:p>
        <w:p w:rsidR="00927F04" w:rsidRDefault="00927F04" w:rsidP="00D366E0">
          <w:pPr>
            <w:spacing w:after="160"/>
            <w:rPr>
              <w:b/>
            </w:rPr>
          </w:pPr>
        </w:p>
        <w:p w:rsidR="00D366E0" w:rsidRDefault="00D366E0" w:rsidP="00D366E0">
          <w:pPr>
            <w:spacing w:after="160"/>
            <w:rPr>
              <w:b/>
            </w:rPr>
          </w:pPr>
        </w:p>
        <w:p w:rsidR="00D366E0" w:rsidRDefault="00D366E0" w:rsidP="00D366E0">
          <w:pPr>
            <w:spacing w:after="160"/>
            <w:rPr>
              <w:b/>
            </w:rPr>
          </w:pPr>
        </w:p>
        <w:p w:rsidR="00D366E0" w:rsidRDefault="00D366E0" w:rsidP="00D366E0">
          <w:pPr>
            <w:spacing w:after="160"/>
            <w:rPr>
              <w:b/>
            </w:rPr>
          </w:pPr>
        </w:p>
        <w:p w:rsidR="00D366E0" w:rsidRDefault="00D366E0" w:rsidP="00D366E0">
          <w:pPr>
            <w:spacing w:after="160"/>
            <w:rPr>
              <w:b/>
            </w:rPr>
          </w:pPr>
        </w:p>
        <w:p w:rsidR="00927F04" w:rsidRDefault="00927F04" w:rsidP="001D3C5D">
          <w:pPr>
            <w:spacing w:after="20"/>
            <w:jc w:val="both"/>
            <w:rPr>
              <w:b/>
            </w:rPr>
          </w:pPr>
        </w:p>
        <w:p w:rsidR="00535584" w:rsidRDefault="00535584">
          <w:pPr>
            <w:spacing w:after="160"/>
            <w:rPr>
              <w:noProof/>
            </w:rPr>
          </w:pPr>
          <w:r>
            <w:rPr>
              <w:noProof/>
            </w:rPr>
            <w:br w:type="page"/>
          </w:r>
        </w:p>
        <w:p w:rsidR="00617A58" w:rsidRDefault="00C56C1C" w:rsidP="00F85197">
          <w:pPr>
            <w:spacing w:after="20"/>
            <w:rPr>
              <w:noProof/>
            </w:rPr>
          </w:pPr>
        </w:p>
      </w:sdtContent>
    </w:sdt>
    <w:sdt>
      <w:sdtPr>
        <w:rPr>
          <w:rFonts w:asciiTheme="minorHAnsi" w:eastAsiaTheme="minorHAnsi" w:hAnsiTheme="minorHAnsi" w:cstheme="minorBidi"/>
          <w:color w:val="auto"/>
          <w:sz w:val="22"/>
          <w:szCs w:val="22"/>
          <w:lang w:eastAsia="en-US"/>
        </w:rPr>
        <w:id w:val="1868567696"/>
        <w:docPartObj>
          <w:docPartGallery w:val="Table of Contents"/>
          <w:docPartUnique/>
        </w:docPartObj>
      </w:sdtPr>
      <w:sdtEndPr>
        <w:rPr>
          <w:b/>
          <w:bCs/>
          <w:sz w:val="20"/>
          <w:szCs w:val="20"/>
        </w:rPr>
      </w:sdtEndPr>
      <w:sdtContent>
        <w:p w:rsidR="00AB595E" w:rsidRDefault="00E14192" w:rsidP="00F85197">
          <w:pPr>
            <w:pStyle w:val="TOCHeading"/>
            <w:spacing w:before="40" w:after="40" w:line="276" w:lineRule="auto"/>
            <w:jc w:val="both"/>
            <w:rPr>
              <w:sz w:val="28"/>
              <w:szCs w:val="28"/>
            </w:rPr>
          </w:pPr>
          <w:r w:rsidRPr="00A733C7">
            <w:rPr>
              <w:sz w:val="28"/>
              <w:szCs w:val="28"/>
            </w:rPr>
            <w:t>Table des matières</w:t>
          </w:r>
          <w:r w:rsidR="00EC2897" w:rsidRPr="00A733C7">
            <w:rPr>
              <w:sz w:val="28"/>
              <w:szCs w:val="28"/>
            </w:rPr>
            <w:t xml:space="preserve"> </w:t>
          </w:r>
        </w:p>
        <w:p w:rsidR="008E582D" w:rsidRPr="008E582D" w:rsidRDefault="008E582D" w:rsidP="008E582D">
          <w:pPr>
            <w:rPr>
              <w:lang w:eastAsia="fr-FR"/>
            </w:rPr>
          </w:pPr>
        </w:p>
        <w:p w:rsidR="005C7AC8" w:rsidRDefault="00E14192">
          <w:pPr>
            <w:pStyle w:val="TOC1"/>
            <w:tabs>
              <w:tab w:val="right" w:leader="dot" w:pos="9062"/>
            </w:tabs>
            <w:rPr>
              <w:rFonts w:eastAsiaTheme="minorEastAsia"/>
              <w:noProof/>
              <w:lang w:eastAsia="fr-FR"/>
            </w:rPr>
          </w:pPr>
          <w:r w:rsidRPr="00A733C7">
            <w:rPr>
              <w:sz w:val="20"/>
              <w:szCs w:val="20"/>
            </w:rPr>
            <w:fldChar w:fldCharType="begin"/>
          </w:r>
          <w:r w:rsidRPr="00A733C7">
            <w:rPr>
              <w:sz w:val="20"/>
              <w:szCs w:val="20"/>
            </w:rPr>
            <w:instrText xml:space="preserve"> TOC \o "1-3" \h \z \u </w:instrText>
          </w:r>
          <w:r w:rsidRPr="00A733C7">
            <w:rPr>
              <w:sz w:val="20"/>
              <w:szCs w:val="20"/>
            </w:rPr>
            <w:fldChar w:fldCharType="separate"/>
          </w:r>
          <w:hyperlink w:anchor="_Toc29546056" w:history="1">
            <w:r w:rsidR="005C7AC8" w:rsidRPr="00A00726">
              <w:rPr>
                <w:rStyle w:val="Hyperlink"/>
                <w:noProof/>
              </w:rPr>
              <w:t xml:space="preserve">Présentation du </w:t>
            </w:r>
            <w:r w:rsidR="005C7AC8" w:rsidRPr="00A00726">
              <w:rPr>
                <w:rStyle w:val="Hyperlink"/>
                <w:bCs/>
                <w:noProof/>
              </w:rPr>
              <w:t>Conseil Français des personnes Handicapées pour les questions Européennes</w:t>
            </w:r>
            <w:r w:rsidR="005C7AC8">
              <w:rPr>
                <w:noProof/>
                <w:webHidden/>
              </w:rPr>
              <w:tab/>
            </w:r>
            <w:r w:rsidR="005C7AC8">
              <w:rPr>
                <w:noProof/>
                <w:webHidden/>
              </w:rPr>
              <w:fldChar w:fldCharType="begin"/>
            </w:r>
            <w:r w:rsidR="005C7AC8">
              <w:rPr>
                <w:noProof/>
                <w:webHidden/>
              </w:rPr>
              <w:instrText xml:space="preserve"> PAGEREF _Toc29546056 \h </w:instrText>
            </w:r>
            <w:r w:rsidR="005C7AC8">
              <w:rPr>
                <w:noProof/>
                <w:webHidden/>
              </w:rPr>
            </w:r>
            <w:r w:rsidR="005C7AC8">
              <w:rPr>
                <w:noProof/>
                <w:webHidden/>
              </w:rPr>
              <w:fldChar w:fldCharType="separate"/>
            </w:r>
            <w:r w:rsidR="005C7AC8">
              <w:rPr>
                <w:noProof/>
                <w:webHidden/>
              </w:rPr>
              <w:t>4</w:t>
            </w:r>
            <w:r w:rsidR="005C7AC8">
              <w:rPr>
                <w:noProof/>
                <w:webHidden/>
              </w:rPr>
              <w:fldChar w:fldCharType="end"/>
            </w:r>
          </w:hyperlink>
        </w:p>
        <w:p w:rsidR="005C7AC8" w:rsidRDefault="00C56C1C">
          <w:pPr>
            <w:pStyle w:val="TOC1"/>
            <w:tabs>
              <w:tab w:val="right" w:leader="dot" w:pos="9062"/>
            </w:tabs>
            <w:rPr>
              <w:rFonts w:eastAsiaTheme="minorEastAsia"/>
              <w:noProof/>
              <w:lang w:eastAsia="fr-FR"/>
            </w:rPr>
          </w:pPr>
          <w:hyperlink w:anchor="_Toc29546057" w:history="1">
            <w:r w:rsidR="005C7AC8" w:rsidRPr="00A00726">
              <w:rPr>
                <w:rStyle w:val="Hyperlink"/>
                <w:noProof/>
              </w:rPr>
              <w:t>Synthèse</w:t>
            </w:r>
            <w:r w:rsidR="005C7AC8">
              <w:rPr>
                <w:noProof/>
                <w:webHidden/>
              </w:rPr>
              <w:tab/>
            </w:r>
            <w:r w:rsidR="005C7AC8">
              <w:rPr>
                <w:noProof/>
                <w:webHidden/>
              </w:rPr>
              <w:fldChar w:fldCharType="begin"/>
            </w:r>
            <w:r w:rsidR="005C7AC8">
              <w:rPr>
                <w:noProof/>
                <w:webHidden/>
              </w:rPr>
              <w:instrText xml:space="preserve"> PAGEREF _Toc29546057 \h </w:instrText>
            </w:r>
            <w:r w:rsidR="005C7AC8">
              <w:rPr>
                <w:noProof/>
                <w:webHidden/>
              </w:rPr>
            </w:r>
            <w:r w:rsidR="005C7AC8">
              <w:rPr>
                <w:noProof/>
                <w:webHidden/>
              </w:rPr>
              <w:fldChar w:fldCharType="separate"/>
            </w:r>
            <w:r w:rsidR="005C7AC8">
              <w:rPr>
                <w:noProof/>
                <w:webHidden/>
              </w:rPr>
              <w:t>5</w:t>
            </w:r>
            <w:r w:rsidR="005C7AC8">
              <w:rPr>
                <w:noProof/>
                <w:webHidden/>
              </w:rPr>
              <w:fldChar w:fldCharType="end"/>
            </w:r>
          </w:hyperlink>
        </w:p>
        <w:p w:rsidR="005C7AC8" w:rsidRDefault="00C56C1C">
          <w:pPr>
            <w:pStyle w:val="TOC1"/>
            <w:tabs>
              <w:tab w:val="right" w:leader="dot" w:pos="9062"/>
            </w:tabs>
            <w:rPr>
              <w:rFonts w:eastAsiaTheme="minorEastAsia"/>
              <w:noProof/>
              <w:lang w:eastAsia="fr-FR"/>
            </w:rPr>
          </w:pPr>
          <w:hyperlink w:anchor="_Toc29546058" w:history="1">
            <w:r w:rsidR="005C7AC8" w:rsidRPr="00A00726">
              <w:rPr>
                <w:rStyle w:val="Hyperlink"/>
                <w:noProof/>
              </w:rPr>
              <w:t>Rapport alternatif</w:t>
            </w:r>
            <w:r w:rsidR="005C7AC8">
              <w:rPr>
                <w:noProof/>
                <w:webHidden/>
              </w:rPr>
              <w:tab/>
            </w:r>
            <w:r w:rsidR="005C7AC8">
              <w:rPr>
                <w:noProof/>
                <w:webHidden/>
              </w:rPr>
              <w:fldChar w:fldCharType="begin"/>
            </w:r>
            <w:r w:rsidR="005C7AC8">
              <w:rPr>
                <w:noProof/>
                <w:webHidden/>
              </w:rPr>
              <w:instrText xml:space="preserve"> PAGEREF _Toc29546058 \h </w:instrText>
            </w:r>
            <w:r w:rsidR="005C7AC8">
              <w:rPr>
                <w:noProof/>
                <w:webHidden/>
              </w:rPr>
            </w:r>
            <w:r w:rsidR="005C7AC8">
              <w:rPr>
                <w:noProof/>
                <w:webHidden/>
              </w:rPr>
              <w:fldChar w:fldCharType="separate"/>
            </w:r>
            <w:r w:rsidR="005C7AC8">
              <w:rPr>
                <w:noProof/>
                <w:webHidden/>
              </w:rPr>
              <w:t>6</w:t>
            </w:r>
            <w:r w:rsidR="005C7AC8">
              <w:rPr>
                <w:noProof/>
                <w:webHidden/>
              </w:rPr>
              <w:fldChar w:fldCharType="end"/>
            </w:r>
          </w:hyperlink>
        </w:p>
        <w:p w:rsidR="005C7AC8" w:rsidRDefault="00C56C1C">
          <w:pPr>
            <w:pStyle w:val="TOC2"/>
            <w:tabs>
              <w:tab w:val="left" w:pos="660"/>
              <w:tab w:val="right" w:leader="dot" w:pos="9062"/>
            </w:tabs>
            <w:rPr>
              <w:rFonts w:eastAsiaTheme="minorEastAsia"/>
              <w:noProof/>
              <w:lang w:eastAsia="fr-FR"/>
            </w:rPr>
          </w:pPr>
          <w:hyperlink w:anchor="_Toc29546059" w:history="1">
            <w:r w:rsidR="005C7AC8" w:rsidRPr="00A00726">
              <w:rPr>
                <w:rStyle w:val="Hyperlink"/>
                <w:noProof/>
              </w:rPr>
              <w:t>A.</w:t>
            </w:r>
            <w:r w:rsidR="005C7AC8">
              <w:rPr>
                <w:rFonts w:eastAsiaTheme="minorEastAsia"/>
                <w:noProof/>
                <w:lang w:eastAsia="fr-FR"/>
              </w:rPr>
              <w:tab/>
            </w:r>
            <w:r w:rsidR="005C7AC8" w:rsidRPr="00A00726">
              <w:rPr>
                <w:rStyle w:val="Hyperlink"/>
                <w:noProof/>
              </w:rPr>
              <w:t>Objet, définitions, principes généraux et obligations générales (art. 1 à 4)</w:t>
            </w:r>
            <w:r w:rsidR="005C7AC8">
              <w:rPr>
                <w:noProof/>
                <w:webHidden/>
              </w:rPr>
              <w:tab/>
            </w:r>
            <w:r w:rsidR="005C7AC8">
              <w:rPr>
                <w:noProof/>
                <w:webHidden/>
              </w:rPr>
              <w:fldChar w:fldCharType="begin"/>
            </w:r>
            <w:r w:rsidR="005C7AC8">
              <w:rPr>
                <w:noProof/>
                <w:webHidden/>
              </w:rPr>
              <w:instrText xml:space="preserve"> PAGEREF _Toc29546059 \h </w:instrText>
            </w:r>
            <w:r w:rsidR="005C7AC8">
              <w:rPr>
                <w:noProof/>
                <w:webHidden/>
              </w:rPr>
            </w:r>
            <w:r w:rsidR="005C7AC8">
              <w:rPr>
                <w:noProof/>
                <w:webHidden/>
              </w:rPr>
              <w:fldChar w:fldCharType="separate"/>
            </w:r>
            <w:r w:rsidR="005C7AC8">
              <w:rPr>
                <w:noProof/>
                <w:webHidden/>
              </w:rPr>
              <w:t>6</w:t>
            </w:r>
            <w:r w:rsidR="005C7AC8">
              <w:rPr>
                <w:noProof/>
                <w:webHidden/>
              </w:rPr>
              <w:fldChar w:fldCharType="end"/>
            </w:r>
          </w:hyperlink>
        </w:p>
        <w:p w:rsidR="005C7AC8" w:rsidRDefault="00C56C1C">
          <w:pPr>
            <w:pStyle w:val="TOC2"/>
            <w:tabs>
              <w:tab w:val="left" w:pos="660"/>
              <w:tab w:val="right" w:leader="dot" w:pos="9062"/>
            </w:tabs>
            <w:rPr>
              <w:rFonts w:eastAsiaTheme="minorEastAsia"/>
              <w:noProof/>
              <w:lang w:eastAsia="fr-FR"/>
            </w:rPr>
          </w:pPr>
          <w:hyperlink w:anchor="_Toc29546060" w:history="1">
            <w:r w:rsidR="005C7AC8" w:rsidRPr="00A00726">
              <w:rPr>
                <w:rStyle w:val="Hyperlink"/>
                <w:noProof/>
              </w:rPr>
              <w:t>B.</w:t>
            </w:r>
            <w:r w:rsidR="005C7AC8">
              <w:rPr>
                <w:rFonts w:eastAsiaTheme="minorEastAsia"/>
                <w:noProof/>
                <w:lang w:eastAsia="fr-FR"/>
              </w:rPr>
              <w:tab/>
            </w:r>
            <w:r w:rsidR="005C7AC8" w:rsidRPr="00A00726">
              <w:rPr>
                <w:rStyle w:val="Hyperlink"/>
                <w:noProof/>
              </w:rPr>
              <w:t>Droits spécifiques (articles 5 à 29)</w:t>
            </w:r>
            <w:r w:rsidR="005C7AC8">
              <w:rPr>
                <w:noProof/>
                <w:webHidden/>
              </w:rPr>
              <w:tab/>
            </w:r>
            <w:r w:rsidR="005C7AC8">
              <w:rPr>
                <w:noProof/>
                <w:webHidden/>
              </w:rPr>
              <w:fldChar w:fldCharType="begin"/>
            </w:r>
            <w:r w:rsidR="005C7AC8">
              <w:rPr>
                <w:noProof/>
                <w:webHidden/>
              </w:rPr>
              <w:instrText xml:space="preserve"> PAGEREF _Toc29546060 \h </w:instrText>
            </w:r>
            <w:r w:rsidR="005C7AC8">
              <w:rPr>
                <w:noProof/>
                <w:webHidden/>
              </w:rPr>
            </w:r>
            <w:r w:rsidR="005C7AC8">
              <w:rPr>
                <w:noProof/>
                <w:webHidden/>
              </w:rPr>
              <w:fldChar w:fldCharType="separate"/>
            </w:r>
            <w:r w:rsidR="005C7AC8">
              <w:rPr>
                <w:noProof/>
                <w:webHidden/>
              </w:rPr>
              <w:t>8</w:t>
            </w:r>
            <w:r w:rsidR="005C7AC8">
              <w:rPr>
                <w:noProof/>
                <w:webHidden/>
              </w:rPr>
              <w:fldChar w:fldCharType="end"/>
            </w:r>
          </w:hyperlink>
        </w:p>
        <w:p w:rsidR="005C7AC8" w:rsidRDefault="00C56C1C">
          <w:pPr>
            <w:pStyle w:val="TOC3"/>
            <w:rPr>
              <w:rFonts w:eastAsiaTheme="minorEastAsia"/>
              <w:noProof/>
              <w:lang w:eastAsia="fr-FR"/>
            </w:rPr>
          </w:pPr>
          <w:hyperlink w:anchor="_Toc29546061" w:history="1">
            <w:r w:rsidR="005C7AC8" w:rsidRPr="00A00726">
              <w:rPr>
                <w:rStyle w:val="Hyperlink"/>
                <w:noProof/>
              </w:rPr>
              <w:t>Article 5 – Égalité et non-discrimination</w:t>
            </w:r>
            <w:r w:rsidR="005C7AC8">
              <w:rPr>
                <w:noProof/>
                <w:webHidden/>
              </w:rPr>
              <w:tab/>
            </w:r>
            <w:r w:rsidR="005C7AC8">
              <w:rPr>
                <w:noProof/>
                <w:webHidden/>
              </w:rPr>
              <w:fldChar w:fldCharType="begin"/>
            </w:r>
            <w:r w:rsidR="005C7AC8">
              <w:rPr>
                <w:noProof/>
                <w:webHidden/>
              </w:rPr>
              <w:instrText xml:space="preserve"> PAGEREF _Toc29546061 \h </w:instrText>
            </w:r>
            <w:r w:rsidR="005C7AC8">
              <w:rPr>
                <w:noProof/>
                <w:webHidden/>
              </w:rPr>
            </w:r>
            <w:r w:rsidR="005C7AC8">
              <w:rPr>
                <w:noProof/>
                <w:webHidden/>
              </w:rPr>
              <w:fldChar w:fldCharType="separate"/>
            </w:r>
            <w:r w:rsidR="005C7AC8">
              <w:rPr>
                <w:noProof/>
                <w:webHidden/>
              </w:rPr>
              <w:t>8</w:t>
            </w:r>
            <w:r w:rsidR="005C7AC8">
              <w:rPr>
                <w:noProof/>
                <w:webHidden/>
              </w:rPr>
              <w:fldChar w:fldCharType="end"/>
            </w:r>
          </w:hyperlink>
        </w:p>
        <w:p w:rsidR="005C7AC8" w:rsidRDefault="00C56C1C">
          <w:pPr>
            <w:pStyle w:val="TOC3"/>
            <w:rPr>
              <w:rFonts w:eastAsiaTheme="minorEastAsia"/>
              <w:noProof/>
              <w:lang w:eastAsia="fr-FR"/>
            </w:rPr>
          </w:pPr>
          <w:hyperlink w:anchor="_Toc29546062" w:history="1">
            <w:r w:rsidR="005C7AC8" w:rsidRPr="00A00726">
              <w:rPr>
                <w:rStyle w:val="Hyperlink"/>
                <w:noProof/>
              </w:rPr>
              <w:t>Article 6 – Femmes handicapées</w:t>
            </w:r>
            <w:r w:rsidR="005C7AC8">
              <w:rPr>
                <w:noProof/>
                <w:webHidden/>
              </w:rPr>
              <w:tab/>
            </w:r>
            <w:r w:rsidR="005C7AC8">
              <w:rPr>
                <w:noProof/>
                <w:webHidden/>
              </w:rPr>
              <w:fldChar w:fldCharType="begin"/>
            </w:r>
            <w:r w:rsidR="005C7AC8">
              <w:rPr>
                <w:noProof/>
                <w:webHidden/>
              </w:rPr>
              <w:instrText xml:space="preserve"> PAGEREF _Toc29546062 \h </w:instrText>
            </w:r>
            <w:r w:rsidR="005C7AC8">
              <w:rPr>
                <w:noProof/>
                <w:webHidden/>
              </w:rPr>
            </w:r>
            <w:r w:rsidR="005C7AC8">
              <w:rPr>
                <w:noProof/>
                <w:webHidden/>
              </w:rPr>
              <w:fldChar w:fldCharType="separate"/>
            </w:r>
            <w:r w:rsidR="005C7AC8">
              <w:rPr>
                <w:noProof/>
                <w:webHidden/>
              </w:rPr>
              <w:t>10</w:t>
            </w:r>
            <w:r w:rsidR="005C7AC8">
              <w:rPr>
                <w:noProof/>
                <w:webHidden/>
              </w:rPr>
              <w:fldChar w:fldCharType="end"/>
            </w:r>
          </w:hyperlink>
        </w:p>
        <w:p w:rsidR="005C7AC8" w:rsidRDefault="00C56C1C">
          <w:pPr>
            <w:pStyle w:val="TOC3"/>
            <w:rPr>
              <w:rFonts w:eastAsiaTheme="minorEastAsia"/>
              <w:noProof/>
              <w:lang w:eastAsia="fr-FR"/>
            </w:rPr>
          </w:pPr>
          <w:hyperlink w:anchor="_Toc29546063" w:history="1">
            <w:r w:rsidR="005C7AC8" w:rsidRPr="00A00726">
              <w:rPr>
                <w:rStyle w:val="Hyperlink"/>
                <w:noProof/>
              </w:rPr>
              <w:t>Article 7 – Enfants handicapés</w:t>
            </w:r>
            <w:r w:rsidR="005C7AC8">
              <w:rPr>
                <w:noProof/>
                <w:webHidden/>
              </w:rPr>
              <w:tab/>
            </w:r>
            <w:r w:rsidR="005C7AC8">
              <w:rPr>
                <w:noProof/>
                <w:webHidden/>
              </w:rPr>
              <w:fldChar w:fldCharType="begin"/>
            </w:r>
            <w:r w:rsidR="005C7AC8">
              <w:rPr>
                <w:noProof/>
                <w:webHidden/>
              </w:rPr>
              <w:instrText xml:space="preserve"> PAGEREF _Toc29546063 \h </w:instrText>
            </w:r>
            <w:r w:rsidR="005C7AC8">
              <w:rPr>
                <w:noProof/>
                <w:webHidden/>
              </w:rPr>
            </w:r>
            <w:r w:rsidR="005C7AC8">
              <w:rPr>
                <w:noProof/>
                <w:webHidden/>
              </w:rPr>
              <w:fldChar w:fldCharType="separate"/>
            </w:r>
            <w:r w:rsidR="005C7AC8">
              <w:rPr>
                <w:noProof/>
                <w:webHidden/>
              </w:rPr>
              <w:t>12</w:t>
            </w:r>
            <w:r w:rsidR="005C7AC8">
              <w:rPr>
                <w:noProof/>
                <w:webHidden/>
              </w:rPr>
              <w:fldChar w:fldCharType="end"/>
            </w:r>
          </w:hyperlink>
        </w:p>
        <w:p w:rsidR="005C7AC8" w:rsidRDefault="00C56C1C">
          <w:pPr>
            <w:pStyle w:val="TOC3"/>
            <w:rPr>
              <w:rFonts w:eastAsiaTheme="minorEastAsia"/>
              <w:noProof/>
              <w:lang w:eastAsia="fr-FR"/>
            </w:rPr>
          </w:pPr>
          <w:hyperlink w:anchor="_Toc29546064" w:history="1">
            <w:r w:rsidR="005C7AC8" w:rsidRPr="00A00726">
              <w:rPr>
                <w:rStyle w:val="Hyperlink"/>
                <w:noProof/>
              </w:rPr>
              <w:t>Article 8 – Sensibilisation</w:t>
            </w:r>
            <w:r w:rsidR="005C7AC8">
              <w:rPr>
                <w:noProof/>
                <w:webHidden/>
              </w:rPr>
              <w:tab/>
            </w:r>
            <w:r w:rsidR="005C7AC8">
              <w:rPr>
                <w:noProof/>
                <w:webHidden/>
              </w:rPr>
              <w:fldChar w:fldCharType="begin"/>
            </w:r>
            <w:r w:rsidR="005C7AC8">
              <w:rPr>
                <w:noProof/>
                <w:webHidden/>
              </w:rPr>
              <w:instrText xml:space="preserve"> PAGEREF _Toc29546064 \h </w:instrText>
            </w:r>
            <w:r w:rsidR="005C7AC8">
              <w:rPr>
                <w:noProof/>
                <w:webHidden/>
              </w:rPr>
            </w:r>
            <w:r w:rsidR="005C7AC8">
              <w:rPr>
                <w:noProof/>
                <w:webHidden/>
              </w:rPr>
              <w:fldChar w:fldCharType="separate"/>
            </w:r>
            <w:r w:rsidR="005C7AC8">
              <w:rPr>
                <w:noProof/>
                <w:webHidden/>
              </w:rPr>
              <w:t>14</w:t>
            </w:r>
            <w:r w:rsidR="005C7AC8">
              <w:rPr>
                <w:noProof/>
                <w:webHidden/>
              </w:rPr>
              <w:fldChar w:fldCharType="end"/>
            </w:r>
          </w:hyperlink>
        </w:p>
        <w:p w:rsidR="005C7AC8" w:rsidRDefault="00C56C1C">
          <w:pPr>
            <w:pStyle w:val="TOC3"/>
            <w:rPr>
              <w:rFonts w:eastAsiaTheme="minorEastAsia"/>
              <w:noProof/>
              <w:lang w:eastAsia="fr-FR"/>
            </w:rPr>
          </w:pPr>
          <w:hyperlink w:anchor="_Toc29546065" w:history="1">
            <w:r w:rsidR="005C7AC8" w:rsidRPr="00A00726">
              <w:rPr>
                <w:rStyle w:val="Hyperlink"/>
                <w:noProof/>
              </w:rPr>
              <w:t>Article 9 – Accessibilité</w:t>
            </w:r>
            <w:r w:rsidR="005C7AC8">
              <w:rPr>
                <w:noProof/>
                <w:webHidden/>
              </w:rPr>
              <w:tab/>
            </w:r>
            <w:r w:rsidR="005C7AC8">
              <w:rPr>
                <w:noProof/>
                <w:webHidden/>
              </w:rPr>
              <w:fldChar w:fldCharType="begin"/>
            </w:r>
            <w:r w:rsidR="005C7AC8">
              <w:rPr>
                <w:noProof/>
                <w:webHidden/>
              </w:rPr>
              <w:instrText xml:space="preserve"> PAGEREF _Toc29546065 \h </w:instrText>
            </w:r>
            <w:r w:rsidR="005C7AC8">
              <w:rPr>
                <w:noProof/>
                <w:webHidden/>
              </w:rPr>
            </w:r>
            <w:r w:rsidR="005C7AC8">
              <w:rPr>
                <w:noProof/>
                <w:webHidden/>
              </w:rPr>
              <w:fldChar w:fldCharType="separate"/>
            </w:r>
            <w:r w:rsidR="005C7AC8">
              <w:rPr>
                <w:noProof/>
                <w:webHidden/>
              </w:rPr>
              <w:t>15</w:t>
            </w:r>
            <w:r w:rsidR="005C7AC8">
              <w:rPr>
                <w:noProof/>
                <w:webHidden/>
              </w:rPr>
              <w:fldChar w:fldCharType="end"/>
            </w:r>
          </w:hyperlink>
        </w:p>
        <w:p w:rsidR="005C7AC8" w:rsidRDefault="00C56C1C">
          <w:pPr>
            <w:pStyle w:val="TOC3"/>
            <w:rPr>
              <w:rFonts w:eastAsiaTheme="minorEastAsia"/>
              <w:noProof/>
              <w:lang w:eastAsia="fr-FR"/>
            </w:rPr>
          </w:pPr>
          <w:hyperlink w:anchor="_Toc29546066" w:history="1">
            <w:r w:rsidR="005C7AC8" w:rsidRPr="00A00726">
              <w:rPr>
                <w:rStyle w:val="Hyperlink"/>
                <w:noProof/>
              </w:rPr>
              <w:t>Article 12 – Reconnaissance de la personnalité juridique dans des conditions d’égalité</w:t>
            </w:r>
            <w:r w:rsidR="005C7AC8">
              <w:rPr>
                <w:noProof/>
                <w:webHidden/>
              </w:rPr>
              <w:tab/>
            </w:r>
            <w:r w:rsidR="005C7AC8">
              <w:rPr>
                <w:noProof/>
                <w:webHidden/>
              </w:rPr>
              <w:fldChar w:fldCharType="begin"/>
            </w:r>
            <w:r w:rsidR="005C7AC8">
              <w:rPr>
                <w:noProof/>
                <w:webHidden/>
              </w:rPr>
              <w:instrText xml:space="preserve"> PAGEREF _Toc29546066 \h </w:instrText>
            </w:r>
            <w:r w:rsidR="005C7AC8">
              <w:rPr>
                <w:noProof/>
                <w:webHidden/>
              </w:rPr>
            </w:r>
            <w:r w:rsidR="005C7AC8">
              <w:rPr>
                <w:noProof/>
                <w:webHidden/>
              </w:rPr>
              <w:fldChar w:fldCharType="separate"/>
            </w:r>
            <w:r w:rsidR="005C7AC8">
              <w:rPr>
                <w:noProof/>
                <w:webHidden/>
              </w:rPr>
              <w:t>18</w:t>
            </w:r>
            <w:r w:rsidR="005C7AC8">
              <w:rPr>
                <w:noProof/>
                <w:webHidden/>
              </w:rPr>
              <w:fldChar w:fldCharType="end"/>
            </w:r>
          </w:hyperlink>
        </w:p>
        <w:p w:rsidR="005C7AC8" w:rsidRDefault="00C56C1C">
          <w:pPr>
            <w:pStyle w:val="TOC3"/>
            <w:rPr>
              <w:rFonts w:eastAsiaTheme="minorEastAsia"/>
              <w:noProof/>
              <w:lang w:eastAsia="fr-FR"/>
            </w:rPr>
          </w:pPr>
          <w:hyperlink w:anchor="_Toc29546067" w:history="1">
            <w:r w:rsidR="005C7AC8" w:rsidRPr="00A00726">
              <w:rPr>
                <w:rStyle w:val="Hyperlink"/>
                <w:noProof/>
              </w:rPr>
              <w:t>Article 13 – Accès à la justice</w:t>
            </w:r>
            <w:r w:rsidR="005C7AC8">
              <w:rPr>
                <w:noProof/>
                <w:webHidden/>
              </w:rPr>
              <w:tab/>
            </w:r>
            <w:r w:rsidR="005C7AC8">
              <w:rPr>
                <w:noProof/>
                <w:webHidden/>
              </w:rPr>
              <w:fldChar w:fldCharType="begin"/>
            </w:r>
            <w:r w:rsidR="005C7AC8">
              <w:rPr>
                <w:noProof/>
                <w:webHidden/>
              </w:rPr>
              <w:instrText xml:space="preserve"> PAGEREF _Toc29546067 \h </w:instrText>
            </w:r>
            <w:r w:rsidR="005C7AC8">
              <w:rPr>
                <w:noProof/>
                <w:webHidden/>
              </w:rPr>
            </w:r>
            <w:r w:rsidR="005C7AC8">
              <w:rPr>
                <w:noProof/>
                <w:webHidden/>
              </w:rPr>
              <w:fldChar w:fldCharType="separate"/>
            </w:r>
            <w:r w:rsidR="005C7AC8">
              <w:rPr>
                <w:noProof/>
                <w:webHidden/>
              </w:rPr>
              <w:t>20</w:t>
            </w:r>
            <w:r w:rsidR="005C7AC8">
              <w:rPr>
                <w:noProof/>
                <w:webHidden/>
              </w:rPr>
              <w:fldChar w:fldCharType="end"/>
            </w:r>
          </w:hyperlink>
        </w:p>
        <w:p w:rsidR="005C7AC8" w:rsidRDefault="00C56C1C">
          <w:pPr>
            <w:pStyle w:val="TOC3"/>
            <w:rPr>
              <w:rFonts w:eastAsiaTheme="minorEastAsia"/>
              <w:noProof/>
              <w:lang w:eastAsia="fr-FR"/>
            </w:rPr>
          </w:pPr>
          <w:hyperlink w:anchor="_Toc29546068" w:history="1">
            <w:r w:rsidR="005C7AC8" w:rsidRPr="00A00726">
              <w:rPr>
                <w:rStyle w:val="Hyperlink"/>
                <w:noProof/>
              </w:rPr>
              <w:t>Articles 14 à 17 – Liberté et sécurité de la personne ; droit de ne pas être soumis à la torture, à des peines ou traitements cruels, inhumains ou dégradants, à l’exploitation, à la violence, à la maltraitance ; protection de l’intégrité de la personne</w:t>
            </w:r>
            <w:r w:rsidR="005C7AC8">
              <w:rPr>
                <w:noProof/>
                <w:webHidden/>
              </w:rPr>
              <w:tab/>
            </w:r>
            <w:r w:rsidR="005C7AC8">
              <w:rPr>
                <w:noProof/>
                <w:webHidden/>
              </w:rPr>
              <w:fldChar w:fldCharType="begin"/>
            </w:r>
            <w:r w:rsidR="005C7AC8">
              <w:rPr>
                <w:noProof/>
                <w:webHidden/>
              </w:rPr>
              <w:instrText xml:space="preserve"> PAGEREF _Toc29546068 \h </w:instrText>
            </w:r>
            <w:r w:rsidR="005C7AC8">
              <w:rPr>
                <w:noProof/>
                <w:webHidden/>
              </w:rPr>
            </w:r>
            <w:r w:rsidR="005C7AC8">
              <w:rPr>
                <w:noProof/>
                <w:webHidden/>
              </w:rPr>
              <w:fldChar w:fldCharType="separate"/>
            </w:r>
            <w:r w:rsidR="005C7AC8">
              <w:rPr>
                <w:noProof/>
                <w:webHidden/>
              </w:rPr>
              <w:t>21</w:t>
            </w:r>
            <w:r w:rsidR="005C7AC8">
              <w:rPr>
                <w:noProof/>
                <w:webHidden/>
              </w:rPr>
              <w:fldChar w:fldCharType="end"/>
            </w:r>
          </w:hyperlink>
        </w:p>
        <w:p w:rsidR="005C7AC8" w:rsidRDefault="00C56C1C">
          <w:pPr>
            <w:pStyle w:val="TOC3"/>
            <w:rPr>
              <w:rFonts w:eastAsiaTheme="minorEastAsia"/>
              <w:noProof/>
              <w:lang w:eastAsia="fr-FR"/>
            </w:rPr>
          </w:pPr>
          <w:hyperlink w:anchor="_Toc29546069" w:history="1">
            <w:r w:rsidR="005C7AC8" w:rsidRPr="00A00726">
              <w:rPr>
                <w:rStyle w:val="Hyperlink"/>
                <w:noProof/>
              </w:rPr>
              <w:t>Article 18 – Droit de circuler librement et nationalité</w:t>
            </w:r>
            <w:r w:rsidR="005C7AC8">
              <w:rPr>
                <w:noProof/>
                <w:webHidden/>
              </w:rPr>
              <w:tab/>
            </w:r>
            <w:r w:rsidR="005C7AC8">
              <w:rPr>
                <w:noProof/>
                <w:webHidden/>
              </w:rPr>
              <w:fldChar w:fldCharType="begin"/>
            </w:r>
            <w:r w:rsidR="005C7AC8">
              <w:rPr>
                <w:noProof/>
                <w:webHidden/>
              </w:rPr>
              <w:instrText xml:space="preserve"> PAGEREF _Toc29546069 \h </w:instrText>
            </w:r>
            <w:r w:rsidR="005C7AC8">
              <w:rPr>
                <w:noProof/>
                <w:webHidden/>
              </w:rPr>
            </w:r>
            <w:r w:rsidR="005C7AC8">
              <w:rPr>
                <w:noProof/>
                <w:webHidden/>
              </w:rPr>
              <w:fldChar w:fldCharType="separate"/>
            </w:r>
            <w:r w:rsidR="005C7AC8">
              <w:rPr>
                <w:noProof/>
                <w:webHidden/>
              </w:rPr>
              <w:t>23</w:t>
            </w:r>
            <w:r w:rsidR="005C7AC8">
              <w:rPr>
                <w:noProof/>
                <w:webHidden/>
              </w:rPr>
              <w:fldChar w:fldCharType="end"/>
            </w:r>
          </w:hyperlink>
        </w:p>
        <w:p w:rsidR="005C7AC8" w:rsidRDefault="00C56C1C">
          <w:pPr>
            <w:pStyle w:val="TOC3"/>
            <w:rPr>
              <w:rFonts w:eastAsiaTheme="minorEastAsia"/>
              <w:noProof/>
              <w:lang w:eastAsia="fr-FR"/>
            </w:rPr>
          </w:pPr>
          <w:hyperlink w:anchor="_Toc29546070" w:history="1">
            <w:r w:rsidR="005C7AC8" w:rsidRPr="00A00726">
              <w:rPr>
                <w:rStyle w:val="Hyperlink"/>
                <w:noProof/>
              </w:rPr>
              <w:t>Article 19 – Autonomie de vie et inclusion dans la société</w:t>
            </w:r>
            <w:r w:rsidR="005C7AC8">
              <w:rPr>
                <w:noProof/>
                <w:webHidden/>
              </w:rPr>
              <w:tab/>
            </w:r>
            <w:r w:rsidR="005C7AC8">
              <w:rPr>
                <w:noProof/>
                <w:webHidden/>
              </w:rPr>
              <w:fldChar w:fldCharType="begin"/>
            </w:r>
            <w:r w:rsidR="005C7AC8">
              <w:rPr>
                <w:noProof/>
                <w:webHidden/>
              </w:rPr>
              <w:instrText xml:space="preserve"> PAGEREF _Toc29546070 \h </w:instrText>
            </w:r>
            <w:r w:rsidR="005C7AC8">
              <w:rPr>
                <w:noProof/>
                <w:webHidden/>
              </w:rPr>
            </w:r>
            <w:r w:rsidR="005C7AC8">
              <w:rPr>
                <w:noProof/>
                <w:webHidden/>
              </w:rPr>
              <w:fldChar w:fldCharType="separate"/>
            </w:r>
            <w:r w:rsidR="005C7AC8">
              <w:rPr>
                <w:noProof/>
                <w:webHidden/>
              </w:rPr>
              <w:t>24</w:t>
            </w:r>
            <w:r w:rsidR="005C7AC8">
              <w:rPr>
                <w:noProof/>
                <w:webHidden/>
              </w:rPr>
              <w:fldChar w:fldCharType="end"/>
            </w:r>
          </w:hyperlink>
        </w:p>
        <w:p w:rsidR="005C7AC8" w:rsidRDefault="00C56C1C">
          <w:pPr>
            <w:pStyle w:val="TOC3"/>
            <w:rPr>
              <w:rFonts w:eastAsiaTheme="minorEastAsia"/>
              <w:noProof/>
              <w:lang w:eastAsia="fr-FR"/>
            </w:rPr>
          </w:pPr>
          <w:hyperlink w:anchor="_Toc29546071" w:history="1">
            <w:r w:rsidR="005C7AC8" w:rsidRPr="00A00726">
              <w:rPr>
                <w:rStyle w:val="Hyperlink"/>
                <w:noProof/>
              </w:rPr>
              <w:t>Article 21 – Liberté d’expression et d’opinion et accès à l’information</w:t>
            </w:r>
            <w:r w:rsidR="005C7AC8">
              <w:rPr>
                <w:noProof/>
                <w:webHidden/>
              </w:rPr>
              <w:tab/>
            </w:r>
            <w:r w:rsidR="005C7AC8">
              <w:rPr>
                <w:noProof/>
                <w:webHidden/>
              </w:rPr>
              <w:fldChar w:fldCharType="begin"/>
            </w:r>
            <w:r w:rsidR="005C7AC8">
              <w:rPr>
                <w:noProof/>
                <w:webHidden/>
              </w:rPr>
              <w:instrText xml:space="preserve"> PAGEREF _Toc29546071 \h </w:instrText>
            </w:r>
            <w:r w:rsidR="005C7AC8">
              <w:rPr>
                <w:noProof/>
                <w:webHidden/>
              </w:rPr>
            </w:r>
            <w:r w:rsidR="005C7AC8">
              <w:rPr>
                <w:noProof/>
                <w:webHidden/>
              </w:rPr>
              <w:fldChar w:fldCharType="separate"/>
            </w:r>
            <w:r w:rsidR="005C7AC8">
              <w:rPr>
                <w:noProof/>
                <w:webHidden/>
              </w:rPr>
              <w:t>25</w:t>
            </w:r>
            <w:r w:rsidR="005C7AC8">
              <w:rPr>
                <w:noProof/>
                <w:webHidden/>
              </w:rPr>
              <w:fldChar w:fldCharType="end"/>
            </w:r>
          </w:hyperlink>
        </w:p>
        <w:p w:rsidR="005C7AC8" w:rsidRDefault="00C56C1C">
          <w:pPr>
            <w:pStyle w:val="TOC3"/>
            <w:rPr>
              <w:rFonts w:eastAsiaTheme="minorEastAsia"/>
              <w:noProof/>
              <w:lang w:eastAsia="fr-FR"/>
            </w:rPr>
          </w:pPr>
          <w:hyperlink w:anchor="_Toc29546072" w:history="1">
            <w:r w:rsidR="005C7AC8" w:rsidRPr="00A00726">
              <w:rPr>
                <w:rStyle w:val="Hyperlink"/>
                <w:noProof/>
              </w:rPr>
              <w:t>Article 22 – Respect de la vie privée</w:t>
            </w:r>
            <w:r w:rsidR="005C7AC8">
              <w:rPr>
                <w:noProof/>
                <w:webHidden/>
              </w:rPr>
              <w:tab/>
            </w:r>
            <w:r w:rsidR="005C7AC8">
              <w:rPr>
                <w:noProof/>
                <w:webHidden/>
              </w:rPr>
              <w:fldChar w:fldCharType="begin"/>
            </w:r>
            <w:r w:rsidR="005C7AC8">
              <w:rPr>
                <w:noProof/>
                <w:webHidden/>
              </w:rPr>
              <w:instrText xml:space="preserve"> PAGEREF _Toc29546072 \h </w:instrText>
            </w:r>
            <w:r w:rsidR="005C7AC8">
              <w:rPr>
                <w:noProof/>
                <w:webHidden/>
              </w:rPr>
            </w:r>
            <w:r w:rsidR="005C7AC8">
              <w:rPr>
                <w:noProof/>
                <w:webHidden/>
              </w:rPr>
              <w:fldChar w:fldCharType="separate"/>
            </w:r>
            <w:r w:rsidR="005C7AC8">
              <w:rPr>
                <w:noProof/>
                <w:webHidden/>
              </w:rPr>
              <w:t>26</w:t>
            </w:r>
            <w:r w:rsidR="005C7AC8">
              <w:rPr>
                <w:noProof/>
                <w:webHidden/>
              </w:rPr>
              <w:fldChar w:fldCharType="end"/>
            </w:r>
          </w:hyperlink>
        </w:p>
        <w:p w:rsidR="005C7AC8" w:rsidRDefault="00C56C1C">
          <w:pPr>
            <w:pStyle w:val="TOC3"/>
            <w:rPr>
              <w:rFonts w:eastAsiaTheme="minorEastAsia"/>
              <w:noProof/>
              <w:lang w:eastAsia="fr-FR"/>
            </w:rPr>
          </w:pPr>
          <w:hyperlink w:anchor="_Toc29546073" w:history="1">
            <w:r w:rsidR="005C7AC8" w:rsidRPr="00A00726">
              <w:rPr>
                <w:rStyle w:val="Hyperlink"/>
                <w:noProof/>
              </w:rPr>
              <w:t>Article 23 – Respect du domicile et de la famille</w:t>
            </w:r>
            <w:r w:rsidR="005C7AC8">
              <w:rPr>
                <w:noProof/>
                <w:webHidden/>
              </w:rPr>
              <w:tab/>
            </w:r>
            <w:r w:rsidR="005C7AC8">
              <w:rPr>
                <w:noProof/>
                <w:webHidden/>
              </w:rPr>
              <w:fldChar w:fldCharType="begin"/>
            </w:r>
            <w:r w:rsidR="005C7AC8">
              <w:rPr>
                <w:noProof/>
                <w:webHidden/>
              </w:rPr>
              <w:instrText xml:space="preserve"> PAGEREF _Toc29546073 \h </w:instrText>
            </w:r>
            <w:r w:rsidR="005C7AC8">
              <w:rPr>
                <w:noProof/>
                <w:webHidden/>
              </w:rPr>
            </w:r>
            <w:r w:rsidR="005C7AC8">
              <w:rPr>
                <w:noProof/>
                <w:webHidden/>
              </w:rPr>
              <w:fldChar w:fldCharType="separate"/>
            </w:r>
            <w:r w:rsidR="005C7AC8">
              <w:rPr>
                <w:noProof/>
                <w:webHidden/>
              </w:rPr>
              <w:t>27</w:t>
            </w:r>
            <w:r w:rsidR="005C7AC8">
              <w:rPr>
                <w:noProof/>
                <w:webHidden/>
              </w:rPr>
              <w:fldChar w:fldCharType="end"/>
            </w:r>
          </w:hyperlink>
        </w:p>
        <w:p w:rsidR="005C7AC8" w:rsidRDefault="00C56C1C">
          <w:pPr>
            <w:pStyle w:val="TOC3"/>
            <w:rPr>
              <w:rFonts w:eastAsiaTheme="minorEastAsia"/>
              <w:noProof/>
              <w:lang w:eastAsia="fr-FR"/>
            </w:rPr>
          </w:pPr>
          <w:hyperlink w:anchor="_Toc29546074" w:history="1">
            <w:r w:rsidR="005C7AC8" w:rsidRPr="00A00726">
              <w:rPr>
                <w:rStyle w:val="Hyperlink"/>
                <w:noProof/>
              </w:rPr>
              <w:t>Article 24 – Éducation</w:t>
            </w:r>
            <w:r w:rsidR="005C7AC8">
              <w:rPr>
                <w:noProof/>
                <w:webHidden/>
              </w:rPr>
              <w:tab/>
            </w:r>
            <w:r w:rsidR="005C7AC8">
              <w:rPr>
                <w:noProof/>
                <w:webHidden/>
              </w:rPr>
              <w:fldChar w:fldCharType="begin"/>
            </w:r>
            <w:r w:rsidR="005C7AC8">
              <w:rPr>
                <w:noProof/>
                <w:webHidden/>
              </w:rPr>
              <w:instrText xml:space="preserve"> PAGEREF _Toc29546074 \h </w:instrText>
            </w:r>
            <w:r w:rsidR="005C7AC8">
              <w:rPr>
                <w:noProof/>
                <w:webHidden/>
              </w:rPr>
            </w:r>
            <w:r w:rsidR="005C7AC8">
              <w:rPr>
                <w:noProof/>
                <w:webHidden/>
              </w:rPr>
              <w:fldChar w:fldCharType="separate"/>
            </w:r>
            <w:r w:rsidR="005C7AC8">
              <w:rPr>
                <w:noProof/>
                <w:webHidden/>
              </w:rPr>
              <w:t>28</w:t>
            </w:r>
            <w:r w:rsidR="005C7AC8">
              <w:rPr>
                <w:noProof/>
                <w:webHidden/>
              </w:rPr>
              <w:fldChar w:fldCharType="end"/>
            </w:r>
          </w:hyperlink>
        </w:p>
        <w:p w:rsidR="005C7AC8" w:rsidRDefault="00C56C1C">
          <w:pPr>
            <w:pStyle w:val="TOC3"/>
            <w:rPr>
              <w:rFonts w:eastAsiaTheme="minorEastAsia"/>
              <w:noProof/>
              <w:lang w:eastAsia="fr-FR"/>
            </w:rPr>
          </w:pPr>
          <w:hyperlink w:anchor="_Toc29546075" w:history="1">
            <w:r w:rsidR="005C7AC8" w:rsidRPr="00A00726">
              <w:rPr>
                <w:rStyle w:val="Hyperlink"/>
                <w:noProof/>
              </w:rPr>
              <w:t>Article 25 – Santé</w:t>
            </w:r>
            <w:r w:rsidR="005C7AC8">
              <w:rPr>
                <w:noProof/>
                <w:webHidden/>
              </w:rPr>
              <w:tab/>
            </w:r>
            <w:r w:rsidR="005C7AC8">
              <w:rPr>
                <w:noProof/>
                <w:webHidden/>
              </w:rPr>
              <w:fldChar w:fldCharType="begin"/>
            </w:r>
            <w:r w:rsidR="005C7AC8">
              <w:rPr>
                <w:noProof/>
                <w:webHidden/>
              </w:rPr>
              <w:instrText xml:space="preserve"> PAGEREF _Toc29546075 \h </w:instrText>
            </w:r>
            <w:r w:rsidR="005C7AC8">
              <w:rPr>
                <w:noProof/>
                <w:webHidden/>
              </w:rPr>
            </w:r>
            <w:r w:rsidR="005C7AC8">
              <w:rPr>
                <w:noProof/>
                <w:webHidden/>
              </w:rPr>
              <w:fldChar w:fldCharType="separate"/>
            </w:r>
            <w:r w:rsidR="005C7AC8">
              <w:rPr>
                <w:noProof/>
                <w:webHidden/>
              </w:rPr>
              <w:t>30</w:t>
            </w:r>
            <w:r w:rsidR="005C7AC8">
              <w:rPr>
                <w:noProof/>
                <w:webHidden/>
              </w:rPr>
              <w:fldChar w:fldCharType="end"/>
            </w:r>
          </w:hyperlink>
        </w:p>
        <w:p w:rsidR="005C7AC8" w:rsidRDefault="00C56C1C">
          <w:pPr>
            <w:pStyle w:val="TOC3"/>
            <w:rPr>
              <w:rFonts w:eastAsiaTheme="minorEastAsia"/>
              <w:noProof/>
              <w:lang w:eastAsia="fr-FR"/>
            </w:rPr>
          </w:pPr>
          <w:hyperlink w:anchor="_Toc29546076" w:history="1">
            <w:r w:rsidR="005C7AC8" w:rsidRPr="00A00726">
              <w:rPr>
                <w:rStyle w:val="Hyperlink"/>
                <w:noProof/>
              </w:rPr>
              <w:t>Article 27 – Travail et emploi</w:t>
            </w:r>
            <w:r w:rsidR="005C7AC8">
              <w:rPr>
                <w:noProof/>
                <w:webHidden/>
              </w:rPr>
              <w:tab/>
            </w:r>
            <w:r w:rsidR="005C7AC8">
              <w:rPr>
                <w:noProof/>
                <w:webHidden/>
              </w:rPr>
              <w:fldChar w:fldCharType="begin"/>
            </w:r>
            <w:r w:rsidR="005C7AC8">
              <w:rPr>
                <w:noProof/>
                <w:webHidden/>
              </w:rPr>
              <w:instrText xml:space="preserve"> PAGEREF _Toc29546076 \h </w:instrText>
            </w:r>
            <w:r w:rsidR="005C7AC8">
              <w:rPr>
                <w:noProof/>
                <w:webHidden/>
              </w:rPr>
            </w:r>
            <w:r w:rsidR="005C7AC8">
              <w:rPr>
                <w:noProof/>
                <w:webHidden/>
              </w:rPr>
              <w:fldChar w:fldCharType="separate"/>
            </w:r>
            <w:r w:rsidR="005C7AC8">
              <w:rPr>
                <w:noProof/>
                <w:webHidden/>
              </w:rPr>
              <w:t>31</w:t>
            </w:r>
            <w:r w:rsidR="005C7AC8">
              <w:rPr>
                <w:noProof/>
                <w:webHidden/>
              </w:rPr>
              <w:fldChar w:fldCharType="end"/>
            </w:r>
          </w:hyperlink>
        </w:p>
        <w:p w:rsidR="005C7AC8" w:rsidRDefault="00C56C1C">
          <w:pPr>
            <w:pStyle w:val="TOC3"/>
            <w:rPr>
              <w:rFonts w:eastAsiaTheme="minorEastAsia"/>
              <w:noProof/>
              <w:lang w:eastAsia="fr-FR"/>
            </w:rPr>
          </w:pPr>
          <w:hyperlink w:anchor="_Toc29546077" w:history="1">
            <w:r w:rsidR="005C7AC8" w:rsidRPr="00A00726">
              <w:rPr>
                <w:rStyle w:val="Hyperlink"/>
                <w:noProof/>
              </w:rPr>
              <w:t>Article 28 – Niveau de vie adéquat et protection sociale</w:t>
            </w:r>
            <w:r w:rsidR="005C7AC8">
              <w:rPr>
                <w:noProof/>
                <w:webHidden/>
              </w:rPr>
              <w:tab/>
            </w:r>
            <w:r w:rsidR="005C7AC8">
              <w:rPr>
                <w:noProof/>
                <w:webHidden/>
              </w:rPr>
              <w:fldChar w:fldCharType="begin"/>
            </w:r>
            <w:r w:rsidR="005C7AC8">
              <w:rPr>
                <w:noProof/>
                <w:webHidden/>
              </w:rPr>
              <w:instrText xml:space="preserve"> PAGEREF _Toc29546077 \h </w:instrText>
            </w:r>
            <w:r w:rsidR="005C7AC8">
              <w:rPr>
                <w:noProof/>
                <w:webHidden/>
              </w:rPr>
            </w:r>
            <w:r w:rsidR="005C7AC8">
              <w:rPr>
                <w:noProof/>
                <w:webHidden/>
              </w:rPr>
              <w:fldChar w:fldCharType="separate"/>
            </w:r>
            <w:r w:rsidR="005C7AC8">
              <w:rPr>
                <w:noProof/>
                <w:webHidden/>
              </w:rPr>
              <w:t>33</w:t>
            </w:r>
            <w:r w:rsidR="005C7AC8">
              <w:rPr>
                <w:noProof/>
                <w:webHidden/>
              </w:rPr>
              <w:fldChar w:fldCharType="end"/>
            </w:r>
          </w:hyperlink>
        </w:p>
        <w:p w:rsidR="005C7AC8" w:rsidRDefault="00C56C1C">
          <w:pPr>
            <w:pStyle w:val="TOC3"/>
            <w:rPr>
              <w:rFonts w:eastAsiaTheme="minorEastAsia"/>
              <w:noProof/>
              <w:lang w:eastAsia="fr-FR"/>
            </w:rPr>
          </w:pPr>
          <w:hyperlink w:anchor="_Toc29546078" w:history="1">
            <w:r w:rsidR="005C7AC8" w:rsidRPr="00A00726">
              <w:rPr>
                <w:rStyle w:val="Hyperlink"/>
                <w:noProof/>
              </w:rPr>
              <w:t>Article 29 – Participation à la vie politique et à la vie publique</w:t>
            </w:r>
            <w:r w:rsidR="005C7AC8">
              <w:rPr>
                <w:noProof/>
                <w:webHidden/>
              </w:rPr>
              <w:tab/>
            </w:r>
            <w:r w:rsidR="005C7AC8">
              <w:rPr>
                <w:noProof/>
                <w:webHidden/>
              </w:rPr>
              <w:fldChar w:fldCharType="begin"/>
            </w:r>
            <w:r w:rsidR="005C7AC8">
              <w:rPr>
                <w:noProof/>
                <w:webHidden/>
              </w:rPr>
              <w:instrText xml:space="preserve"> PAGEREF _Toc29546078 \h </w:instrText>
            </w:r>
            <w:r w:rsidR="005C7AC8">
              <w:rPr>
                <w:noProof/>
                <w:webHidden/>
              </w:rPr>
            </w:r>
            <w:r w:rsidR="005C7AC8">
              <w:rPr>
                <w:noProof/>
                <w:webHidden/>
              </w:rPr>
              <w:fldChar w:fldCharType="separate"/>
            </w:r>
            <w:r w:rsidR="005C7AC8">
              <w:rPr>
                <w:noProof/>
                <w:webHidden/>
              </w:rPr>
              <w:t>34</w:t>
            </w:r>
            <w:r w:rsidR="005C7AC8">
              <w:rPr>
                <w:noProof/>
                <w:webHidden/>
              </w:rPr>
              <w:fldChar w:fldCharType="end"/>
            </w:r>
          </w:hyperlink>
        </w:p>
        <w:p w:rsidR="005C7AC8" w:rsidRDefault="00C56C1C">
          <w:pPr>
            <w:pStyle w:val="TOC3"/>
            <w:rPr>
              <w:rFonts w:eastAsiaTheme="minorEastAsia"/>
              <w:noProof/>
              <w:lang w:eastAsia="fr-FR"/>
            </w:rPr>
          </w:pPr>
          <w:hyperlink w:anchor="_Toc29546079" w:history="1">
            <w:r w:rsidR="005C7AC8" w:rsidRPr="00A00726">
              <w:rPr>
                <w:rStyle w:val="Hyperlink"/>
                <w:noProof/>
              </w:rPr>
              <w:t>Article 30 – Participation à la vie culturelle et récréative, aux loisirs et aux sports</w:t>
            </w:r>
            <w:r w:rsidR="005C7AC8">
              <w:rPr>
                <w:noProof/>
                <w:webHidden/>
              </w:rPr>
              <w:tab/>
            </w:r>
            <w:r w:rsidR="005C7AC8">
              <w:rPr>
                <w:noProof/>
                <w:webHidden/>
              </w:rPr>
              <w:fldChar w:fldCharType="begin"/>
            </w:r>
            <w:r w:rsidR="005C7AC8">
              <w:rPr>
                <w:noProof/>
                <w:webHidden/>
              </w:rPr>
              <w:instrText xml:space="preserve"> PAGEREF _Toc29546079 \h </w:instrText>
            </w:r>
            <w:r w:rsidR="005C7AC8">
              <w:rPr>
                <w:noProof/>
                <w:webHidden/>
              </w:rPr>
            </w:r>
            <w:r w:rsidR="005C7AC8">
              <w:rPr>
                <w:noProof/>
                <w:webHidden/>
              </w:rPr>
              <w:fldChar w:fldCharType="separate"/>
            </w:r>
            <w:r w:rsidR="005C7AC8">
              <w:rPr>
                <w:noProof/>
                <w:webHidden/>
              </w:rPr>
              <w:t>35</w:t>
            </w:r>
            <w:r w:rsidR="005C7AC8">
              <w:rPr>
                <w:noProof/>
                <w:webHidden/>
              </w:rPr>
              <w:fldChar w:fldCharType="end"/>
            </w:r>
          </w:hyperlink>
        </w:p>
        <w:p w:rsidR="005C7AC8" w:rsidRDefault="00C56C1C">
          <w:pPr>
            <w:pStyle w:val="TOC2"/>
            <w:tabs>
              <w:tab w:val="right" w:leader="dot" w:pos="9062"/>
            </w:tabs>
            <w:rPr>
              <w:rFonts w:eastAsiaTheme="minorEastAsia"/>
              <w:noProof/>
              <w:lang w:eastAsia="fr-FR"/>
            </w:rPr>
          </w:pPr>
          <w:hyperlink w:anchor="_Toc29546080" w:history="1">
            <w:r w:rsidR="005C7AC8" w:rsidRPr="00A00726">
              <w:rPr>
                <w:rStyle w:val="Hyperlink"/>
                <w:noProof/>
              </w:rPr>
              <w:t>C. Obligations particulières (art. 31 à 33)</w:t>
            </w:r>
            <w:r w:rsidR="005C7AC8">
              <w:rPr>
                <w:noProof/>
                <w:webHidden/>
              </w:rPr>
              <w:tab/>
            </w:r>
            <w:r w:rsidR="005C7AC8">
              <w:rPr>
                <w:noProof/>
                <w:webHidden/>
              </w:rPr>
              <w:fldChar w:fldCharType="begin"/>
            </w:r>
            <w:r w:rsidR="005C7AC8">
              <w:rPr>
                <w:noProof/>
                <w:webHidden/>
              </w:rPr>
              <w:instrText xml:space="preserve"> PAGEREF _Toc29546080 \h </w:instrText>
            </w:r>
            <w:r w:rsidR="005C7AC8">
              <w:rPr>
                <w:noProof/>
                <w:webHidden/>
              </w:rPr>
            </w:r>
            <w:r w:rsidR="005C7AC8">
              <w:rPr>
                <w:noProof/>
                <w:webHidden/>
              </w:rPr>
              <w:fldChar w:fldCharType="separate"/>
            </w:r>
            <w:r w:rsidR="005C7AC8">
              <w:rPr>
                <w:noProof/>
                <w:webHidden/>
              </w:rPr>
              <w:t>36</w:t>
            </w:r>
            <w:r w:rsidR="005C7AC8">
              <w:rPr>
                <w:noProof/>
                <w:webHidden/>
              </w:rPr>
              <w:fldChar w:fldCharType="end"/>
            </w:r>
          </w:hyperlink>
        </w:p>
        <w:p w:rsidR="005C7AC8" w:rsidRDefault="00C56C1C">
          <w:pPr>
            <w:pStyle w:val="TOC3"/>
            <w:rPr>
              <w:rFonts w:eastAsiaTheme="minorEastAsia"/>
              <w:noProof/>
              <w:lang w:eastAsia="fr-FR"/>
            </w:rPr>
          </w:pPr>
          <w:hyperlink w:anchor="_Toc29546081" w:history="1">
            <w:r w:rsidR="005C7AC8" w:rsidRPr="00A00726">
              <w:rPr>
                <w:rStyle w:val="Hyperlink"/>
                <w:noProof/>
              </w:rPr>
              <w:t>Article 31 – Statistiques et collecte de données</w:t>
            </w:r>
            <w:r w:rsidR="005C7AC8">
              <w:rPr>
                <w:noProof/>
                <w:webHidden/>
              </w:rPr>
              <w:tab/>
            </w:r>
            <w:r w:rsidR="005C7AC8">
              <w:rPr>
                <w:noProof/>
                <w:webHidden/>
              </w:rPr>
              <w:fldChar w:fldCharType="begin"/>
            </w:r>
            <w:r w:rsidR="005C7AC8">
              <w:rPr>
                <w:noProof/>
                <w:webHidden/>
              </w:rPr>
              <w:instrText xml:space="preserve"> PAGEREF _Toc29546081 \h </w:instrText>
            </w:r>
            <w:r w:rsidR="005C7AC8">
              <w:rPr>
                <w:noProof/>
                <w:webHidden/>
              </w:rPr>
            </w:r>
            <w:r w:rsidR="005C7AC8">
              <w:rPr>
                <w:noProof/>
                <w:webHidden/>
              </w:rPr>
              <w:fldChar w:fldCharType="separate"/>
            </w:r>
            <w:r w:rsidR="005C7AC8">
              <w:rPr>
                <w:noProof/>
                <w:webHidden/>
              </w:rPr>
              <w:t>36</w:t>
            </w:r>
            <w:r w:rsidR="005C7AC8">
              <w:rPr>
                <w:noProof/>
                <w:webHidden/>
              </w:rPr>
              <w:fldChar w:fldCharType="end"/>
            </w:r>
          </w:hyperlink>
        </w:p>
        <w:p w:rsidR="005C7AC8" w:rsidRDefault="00C56C1C">
          <w:pPr>
            <w:pStyle w:val="TOC3"/>
            <w:rPr>
              <w:rFonts w:eastAsiaTheme="minorEastAsia"/>
              <w:noProof/>
              <w:lang w:eastAsia="fr-FR"/>
            </w:rPr>
          </w:pPr>
          <w:hyperlink w:anchor="_Toc29546082" w:history="1">
            <w:r w:rsidR="005C7AC8" w:rsidRPr="00A00726">
              <w:rPr>
                <w:rStyle w:val="Hyperlink"/>
                <w:noProof/>
              </w:rPr>
              <w:t>Article 32 – Coopération internationale</w:t>
            </w:r>
            <w:r w:rsidR="005C7AC8">
              <w:rPr>
                <w:noProof/>
                <w:webHidden/>
              </w:rPr>
              <w:tab/>
            </w:r>
            <w:r w:rsidR="005C7AC8">
              <w:rPr>
                <w:noProof/>
                <w:webHidden/>
              </w:rPr>
              <w:fldChar w:fldCharType="begin"/>
            </w:r>
            <w:r w:rsidR="005C7AC8">
              <w:rPr>
                <w:noProof/>
                <w:webHidden/>
              </w:rPr>
              <w:instrText xml:space="preserve"> PAGEREF _Toc29546082 \h </w:instrText>
            </w:r>
            <w:r w:rsidR="005C7AC8">
              <w:rPr>
                <w:noProof/>
                <w:webHidden/>
              </w:rPr>
            </w:r>
            <w:r w:rsidR="005C7AC8">
              <w:rPr>
                <w:noProof/>
                <w:webHidden/>
              </w:rPr>
              <w:fldChar w:fldCharType="separate"/>
            </w:r>
            <w:r w:rsidR="005C7AC8">
              <w:rPr>
                <w:noProof/>
                <w:webHidden/>
              </w:rPr>
              <w:t>37</w:t>
            </w:r>
            <w:r w:rsidR="005C7AC8">
              <w:rPr>
                <w:noProof/>
                <w:webHidden/>
              </w:rPr>
              <w:fldChar w:fldCharType="end"/>
            </w:r>
          </w:hyperlink>
        </w:p>
        <w:p w:rsidR="005C7AC8" w:rsidRDefault="00C56C1C">
          <w:pPr>
            <w:pStyle w:val="TOC3"/>
            <w:rPr>
              <w:rFonts w:eastAsiaTheme="minorEastAsia"/>
              <w:noProof/>
              <w:lang w:eastAsia="fr-FR"/>
            </w:rPr>
          </w:pPr>
          <w:hyperlink w:anchor="_Toc29546083" w:history="1">
            <w:r w:rsidR="005C7AC8" w:rsidRPr="00A00726">
              <w:rPr>
                <w:rStyle w:val="Hyperlink"/>
                <w:noProof/>
              </w:rPr>
              <w:t>Article 33 – Application et suivi au niveau national</w:t>
            </w:r>
            <w:r w:rsidR="005C7AC8">
              <w:rPr>
                <w:noProof/>
                <w:webHidden/>
              </w:rPr>
              <w:tab/>
            </w:r>
            <w:r w:rsidR="005C7AC8">
              <w:rPr>
                <w:noProof/>
                <w:webHidden/>
              </w:rPr>
              <w:fldChar w:fldCharType="begin"/>
            </w:r>
            <w:r w:rsidR="005C7AC8">
              <w:rPr>
                <w:noProof/>
                <w:webHidden/>
              </w:rPr>
              <w:instrText xml:space="preserve"> PAGEREF _Toc29546083 \h </w:instrText>
            </w:r>
            <w:r w:rsidR="005C7AC8">
              <w:rPr>
                <w:noProof/>
                <w:webHidden/>
              </w:rPr>
            </w:r>
            <w:r w:rsidR="005C7AC8">
              <w:rPr>
                <w:noProof/>
                <w:webHidden/>
              </w:rPr>
              <w:fldChar w:fldCharType="separate"/>
            </w:r>
            <w:r w:rsidR="005C7AC8">
              <w:rPr>
                <w:noProof/>
                <w:webHidden/>
              </w:rPr>
              <w:t>38</w:t>
            </w:r>
            <w:r w:rsidR="005C7AC8">
              <w:rPr>
                <w:noProof/>
                <w:webHidden/>
              </w:rPr>
              <w:fldChar w:fldCharType="end"/>
            </w:r>
          </w:hyperlink>
        </w:p>
        <w:p w:rsidR="005C7AC8" w:rsidRDefault="00C56C1C">
          <w:pPr>
            <w:pStyle w:val="TOC1"/>
            <w:tabs>
              <w:tab w:val="right" w:leader="dot" w:pos="9062"/>
            </w:tabs>
            <w:rPr>
              <w:rFonts w:eastAsiaTheme="minorEastAsia"/>
              <w:noProof/>
              <w:lang w:eastAsia="fr-FR"/>
            </w:rPr>
          </w:pPr>
          <w:hyperlink w:anchor="_Toc29546084" w:history="1">
            <w:r w:rsidR="005C7AC8" w:rsidRPr="00A00726">
              <w:rPr>
                <w:rStyle w:val="Hyperlink"/>
                <w:noProof/>
              </w:rPr>
              <w:t>Sigles</w:t>
            </w:r>
            <w:r w:rsidR="005C7AC8">
              <w:rPr>
                <w:noProof/>
                <w:webHidden/>
              </w:rPr>
              <w:tab/>
            </w:r>
            <w:r w:rsidR="005C7AC8">
              <w:rPr>
                <w:noProof/>
                <w:webHidden/>
              </w:rPr>
              <w:fldChar w:fldCharType="begin"/>
            </w:r>
            <w:r w:rsidR="005C7AC8">
              <w:rPr>
                <w:noProof/>
                <w:webHidden/>
              </w:rPr>
              <w:instrText xml:space="preserve"> PAGEREF _Toc29546084 \h </w:instrText>
            </w:r>
            <w:r w:rsidR="005C7AC8">
              <w:rPr>
                <w:noProof/>
                <w:webHidden/>
              </w:rPr>
            </w:r>
            <w:r w:rsidR="005C7AC8">
              <w:rPr>
                <w:noProof/>
                <w:webHidden/>
              </w:rPr>
              <w:fldChar w:fldCharType="separate"/>
            </w:r>
            <w:r w:rsidR="005C7AC8">
              <w:rPr>
                <w:noProof/>
                <w:webHidden/>
              </w:rPr>
              <w:t>39</w:t>
            </w:r>
            <w:r w:rsidR="005C7AC8">
              <w:rPr>
                <w:noProof/>
                <w:webHidden/>
              </w:rPr>
              <w:fldChar w:fldCharType="end"/>
            </w:r>
          </w:hyperlink>
        </w:p>
        <w:p w:rsidR="005C7AC8" w:rsidRDefault="00C56C1C">
          <w:pPr>
            <w:pStyle w:val="TOC1"/>
            <w:tabs>
              <w:tab w:val="right" w:leader="dot" w:pos="9062"/>
            </w:tabs>
            <w:rPr>
              <w:rFonts w:eastAsiaTheme="minorEastAsia"/>
              <w:noProof/>
              <w:lang w:eastAsia="fr-FR"/>
            </w:rPr>
          </w:pPr>
          <w:hyperlink w:anchor="_Toc29546085" w:history="1">
            <w:r w:rsidR="005C7AC8" w:rsidRPr="00A00726">
              <w:rPr>
                <w:rStyle w:val="Hyperlink"/>
                <w:noProof/>
              </w:rPr>
              <w:t>Notes</w:t>
            </w:r>
            <w:r w:rsidR="005C7AC8">
              <w:rPr>
                <w:noProof/>
                <w:webHidden/>
              </w:rPr>
              <w:tab/>
            </w:r>
            <w:r w:rsidR="005C7AC8">
              <w:rPr>
                <w:noProof/>
                <w:webHidden/>
              </w:rPr>
              <w:fldChar w:fldCharType="begin"/>
            </w:r>
            <w:r w:rsidR="005C7AC8">
              <w:rPr>
                <w:noProof/>
                <w:webHidden/>
              </w:rPr>
              <w:instrText xml:space="preserve"> PAGEREF _Toc29546085 \h </w:instrText>
            </w:r>
            <w:r w:rsidR="005C7AC8">
              <w:rPr>
                <w:noProof/>
                <w:webHidden/>
              </w:rPr>
            </w:r>
            <w:r w:rsidR="005C7AC8">
              <w:rPr>
                <w:noProof/>
                <w:webHidden/>
              </w:rPr>
              <w:fldChar w:fldCharType="separate"/>
            </w:r>
            <w:r w:rsidR="005C7AC8">
              <w:rPr>
                <w:noProof/>
                <w:webHidden/>
              </w:rPr>
              <w:t>40</w:t>
            </w:r>
            <w:r w:rsidR="005C7AC8">
              <w:rPr>
                <w:noProof/>
                <w:webHidden/>
              </w:rPr>
              <w:fldChar w:fldCharType="end"/>
            </w:r>
          </w:hyperlink>
        </w:p>
        <w:p w:rsidR="00E14192" w:rsidRPr="00A733C7" w:rsidRDefault="00E14192" w:rsidP="00063001">
          <w:pPr>
            <w:pStyle w:val="TOC1"/>
            <w:tabs>
              <w:tab w:val="right" w:leader="dot" w:pos="9062"/>
            </w:tabs>
            <w:rPr>
              <w:sz w:val="20"/>
              <w:szCs w:val="20"/>
            </w:rPr>
          </w:pPr>
          <w:r w:rsidRPr="00A733C7">
            <w:rPr>
              <w:b/>
              <w:bCs/>
              <w:sz w:val="20"/>
              <w:szCs w:val="20"/>
            </w:rPr>
            <w:fldChar w:fldCharType="end"/>
          </w:r>
        </w:p>
      </w:sdtContent>
    </w:sdt>
    <w:p w:rsidR="00535584" w:rsidRDefault="00535584" w:rsidP="00535584">
      <w:pPr>
        <w:spacing w:after="20"/>
        <w:jc w:val="both"/>
        <w:rPr>
          <w:b/>
        </w:rPr>
      </w:pPr>
    </w:p>
    <w:p w:rsidR="00535584" w:rsidRPr="005C7AC8" w:rsidRDefault="00535584" w:rsidP="005C7AC8"/>
    <w:p w:rsidR="00535584" w:rsidRPr="005C7AC8" w:rsidRDefault="00535584" w:rsidP="005C7AC8"/>
    <w:p w:rsidR="00535584" w:rsidRPr="005C7AC8" w:rsidRDefault="00535584" w:rsidP="005C7AC8"/>
    <w:p w:rsidR="00535584" w:rsidRPr="005C7AC8" w:rsidRDefault="00535584" w:rsidP="005C7AC8"/>
    <w:p w:rsidR="00535584" w:rsidRPr="005C7AC8" w:rsidRDefault="00535584" w:rsidP="005C7AC8"/>
    <w:p w:rsidR="00535584" w:rsidRPr="005C7AC8" w:rsidRDefault="00535584" w:rsidP="005C7AC8"/>
    <w:p w:rsidR="00535584" w:rsidRPr="005C7AC8" w:rsidRDefault="00535584" w:rsidP="005C7AC8"/>
    <w:p w:rsidR="00535584" w:rsidRPr="005C7AC8" w:rsidRDefault="00535584" w:rsidP="005C7AC8"/>
    <w:p w:rsidR="00535584" w:rsidRPr="005C7AC8" w:rsidRDefault="00535584" w:rsidP="005C7AC8"/>
    <w:p w:rsidR="00535584" w:rsidRPr="005C7AC8" w:rsidRDefault="00535584" w:rsidP="005C7AC8"/>
    <w:p w:rsidR="00535584" w:rsidRPr="005C7AC8" w:rsidRDefault="00535584" w:rsidP="005C7AC8"/>
    <w:p w:rsidR="00535584" w:rsidRPr="005C7AC8" w:rsidRDefault="00535584" w:rsidP="005C7AC8"/>
    <w:p w:rsidR="00535584" w:rsidRPr="005C7AC8" w:rsidRDefault="00535584" w:rsidP="005C7AC8"/>
    <w:p w:rsidR="00535584" w:rsidRPr="005C7AC8" w:rsidRDefault="00535584" w:rsidP="005C7AC8"/>
    <w:p w:rsidR="00535584" w:rsidRPr="005C7AC8" w:rsidRDefault="00535584" w:rsidP="005C7AC8"/>
    <w:p w:rsidR="00535584" w:rsidRDefault="00535584" w:rsidP="00535584">
      <w:pPr>
        <w:pStyle w:val="Heading4"/>
        <w:spacing w:before="0" w:after="20"/>
        <w:ind w:firstLine="360"/>
        <w:jc w:val="both"/>
      </w:pPr>
      <w:r w:rsidRPr="00C31358">
        <w:t xml:space="preserve">Note </w:t>
      </w:r>
      <w:r>
        <w:t xml:space="preserve">de lecture </w:t>
      </w:r>
    </w:p>
    <w:p w:rsidR="00535584" w:rsidRDefault="00535584" w:rsidP="00535584">
      <w:pPr>
        <w:spacing w:after="20"/>
        <w:jc w:val="both"/>
        <w:rPr>
          <w:b/>
        </w:rPr>
      </w:pPr>
    </w:p>
    <w:p w:rsidR="00535584" w:rsidRPr="001D3C5D" w:rsidRDefault="00535584" w:rsidP="00535584">
      <w:pPr>
        <w:jc w:val="both"/>
      </w:pPr>
      <w:r w:rsidRPr="001D3C5D">
        <w:t xml:space="preserve">Par souci de simplification et pour éviter des redites, le CFHE a fait le choix d’examiner les problématiques </w:t>
      </w:r>
      <w:r>
        <w:t>considérées</w:t>
      </w:r>
      <w:r w:rsidRPr="001D3C5D">
        <w:t xml:space="preserve"> comme majeures et transversales en suivant l’ordre des articles, quitte à en regrouper certains parfois. </w:t>
      </w:r>
    </w:p>
    <w:p w:rsidR="00535584" w:rsidRPr="001D3C5D" w:rsidRDefault="00535584" w:rsidP="00535584">
      <w:pPr>
        <w:jc w:val="both"/>
      </w:pPr>
    </w:p>
    <w:p w:rsidR="00535584" w:rsidRPr="001D3C5D" w:rsidRDefault="00535584" w:rsidP="00535584">
      <w:pPr>
        <w:spacing w:after="20"/>
        <w:rPr>
          <w:noProof/>
        </w:rPr>
      </w:pPr>
    </w:p>
    <w:p w:rsidR="00535584" w:rsidRPr="001D3C5D" w:rsidRDefault="00535584" w:rsidP="00535584">
      <w:pPr>
        <w:spacing w:after="20"/>
        <w:rPr>
          <w:noProof/>
        </w:rPr>
      </w:pPr>
      <w:r w:rsidRPr="001D3C5D">
        <w:rPr>
          <w:noProof/>
        </w:rPr>
        <w:br w:type="page"/>
      </w:r>
    </w:p>
    <w:p w:rsidR="00E14192" w:rsidRDefault="00E14192" w:rsidP="00535584">
      <w:pPr>
        <w:pStyle w:val="Heading1"/>
        <w:spacing w:before="0" w:after="20"/>
        <w:jc w:val="both"/>
      </w:pPr>
      <w:bookmarkStart w:id="1" w:name="_Toc29546056"/>
      <w:r>
        <w:lastRenderedPageBreak/>
        <w:t xml:space="preserve">Présentation du </w:t>
      </w:r>
      <w:r w:rsidR="00E01F11" w:rsidRPr="007C4399">
        <w:rPr>
          <w:bCs/>
        </w:rPr>
        <w:t>Conseil Français des personnes Handicapées pour les questions Européennes</w:t>
      </w:r>
      <w:bookmarkEnd w:id="0"/>
      <w:bookmarkEnd w:id="1"/>
    </w:p>
    <w:p w:rsidR="00D9427A" w:rsidRDefault="00D9427A" w:rsidP="00F85197">
      <w:pPr>
        <w:spacing w:after="20"/>
        <w:jc w:val="both"/>
      </w:pPr>
    </w:p>
    <w:p w:rsidR="00D17D8A" w:rsidRDefault="00D17D8A" w:rsidP="00F85197">
      <w:pPr>
        <w:spacing w:after="20"/>
        <w:jc w:val="both"/>
      </w:pPr>
    </w:p>
    <w:p w:rsidR="00D17D8A" w:rsidRDefault="00D17D8A" w:rsidP="00F85197">
      <w:pPr>
        <w:spacing w:after="20"/>
        <w:jc w:val="both"/>
      </w:pPr>
    </w:p>
    <w:p w:rsidR="00A151E6" w:rsidRPr="00A151E6" w:rsidRDefault="00A151E6" w:rsidP="00F85197">
      <w:pPr>
        <w:spacing w:after="20"/>
        <w:jc w:val="both"/>
      </w:pPr>
      <w:r w:rsidRPr="007C4399">
        <w:t xml:space="preserve">Le </w:t>
      </w:r>
      <w:bookmarkStart w:id="2" w:name="_GoBack"/>
      <w:r w:rsidR="008C2D19" w:rsidRPr="007C4399">
        <w:t>Conseil Français des personnes Handicapées pour les questions Européennes (</w:t>
      </w:r>
      <w:r w:rsidRPr="007C4399">
        <w:t>CFHE</w:t>
      </w:r>
      <w:r w:rsidR="008C2D19" w:rsidRPr="007C4399">
        <w:t>)</w:t>
      </w:r>
      <w:bookmarkEnd w:id="2"/>
      <w:r w:rsidRPr="007C4399">
        <w:t xml:space="preserve"> est</w:t>
      </w:r>
      <w:r w:rsidRPr="00A151E6">
        <w:t xml:space="preserve"> une organisation non-gouvernementale (ONG), fondée en 1993, qui regroupe les associations nationales représentatives des personnes handicapées pour défendre leurs intérêts auprès des instances du Conseil de l’Europe</w:t>
      </w:r>
      <w:r w:rsidR="00A56EAB">
        <w:t>, de</w:t>
      </w:r>
      <w:r w:rsidRPr="00A151E6">
        <w:t xml:space="preserve"> </w:t>
      </w:r>
      <w:r w:rsidR="00A56EAB">
        <w:t>l’Union</w:t>
      </w:r>
      <w:r w:rsidR="00A56EAB" w:rsidRPr="00A151E6">
        <w:t xml:space="preserve"> européenne </w:t>
      </w:r>
      <w:r w:rsidRPr="00A151E6">
        <w:t xml:space="preserve">et du gouvernement français </w:t>
      </w:r>
      <w:r w:rsidR="00C41FEE">
        <w:t>concernant</w:t>
      </w:r>
      <w:r w:rsidRPr="00A151E6">
        <w:t xml:space="preserve"> toutes les questions impliquant des prises de position au niveau européen. </w:t>
      </w:r>
    </w:p>
    <w:p w:rsidR="00A151E6" w:rsidRPr="00A151E6" w:rsidRDefault="00BE7A5B" w:rsidP="00F85197">
      <w:pPr>
        <w:spacing w:after="20"/>
        <w:jc w:val="both"/>
      </w:pPr>
      <w:r>
        <w:t>Il s’agit d’</w:t>
      </w:r>
      <w:r w:rsidR="00C41FEE">
        <w:t>une instance consultative</w:t>
      </w:r>
      <w:r w:rsidR="00A151E6" w:rsidRPr="00A151E6">
        <w:t xml:space="preserve"> auprès des pouvoirs publics français et des institutions communautaires et </w:t>
      </w:r>
      <w:r w:rsidR="00257D93">
        <w:t>d’</w:t>
      </w:r>
      <w:r w:rsidR="00A151E6" w:rsidRPr="00A151E6">
        <w:t xml:space="preserve">une instance de proposition pour l’élaboration et la mise en œuvre d’une politique européenne en faveur des personnes handicapées. </w:t>
      </w:r>
    </w:p>
    <w:p w:rsidR="00A151E6" w:rsidRDefault="00A151E6" w:rsidP="00F85197">
      <w:pPr>
        <w:spacing w:after="20"/>
        <w:jc w:val="both"/>
      </w:pPr>
    </w:p>
    <w:p w:rsidR="00A151E6" w:rsidRDefault="003C79B8" w:rsidP="00F85197">
      <w:pPr>
        <w:spacing w:after="20"/>
        <w:jc w:val="both"/>
      </w:pPr>
      <w:r>
        <w:t>En</w:t>
      </w:r>
      <w:r w:rsidR="00A151E6">
        <w:t xml:space="preserve"> 2010</w:t>
      </w:r>
      <w:r w:rsidR="00874454">
        <w:t>, le</w:t>
      </w:r>
      <w:r w:rsidR="00A151E6">
        <w:t xml:space="preserve"> Comité d'entente des associations représentatives des personnes ha</w:t>
      </w:r>
      <w:r w:rsidR="00874454">
        <w:t>ndicapées et de leurs familles</w:t>
      </w:r>
      <w:r w:rsidR="00767152">
        <w:t xml:space="preserve"> (devenu Collectif Handicaps)</w:t>
      </w:r>
      <w:r>
        <w:t xml:space="preserve"> mandate le CFHE</w:t>
      </w:r>
      <w:r w:rsidR="00A151E6">
        <w:t xml:space="preserve"> pour rédiger le rapport alternatif de la société civile française. Cette réponse légitime s’appuie sur l’article 33 de la Convention : « </w:t>
      </w:r>
      <w:r w:rsidR="00A151E6" w:rsidRPr="00A151E6">
        <w:rPr>
          <w:i/>
        </w:rPr>
        <w:t>La société civile – en particulier les personnes handicapées et les organisations qui les représentent – est associée et participe pleinement à la fonction de suivi</w:t>
      </w:r>
      <w:r w:rsidR="00A151E6">
        <w:t xml:space="preserve"> ».</w:t>
      </w:r>
    </w:p>
    <w:p w:rsidR="00A151E6" w:rsidRDefault="00A151E6" w:rsidP="00F85197">
      <w:pPr>
        <w:spacing w:after="20"/>
        <w:jc w:val="both"/>
      </w:pPr>
    </w:p>
    <w:p w:rsidR="002E3B27" w:rsidRDefault="002E3B27" w:rsidP="00F85197">
      <w:pPr>
        <w:spacing w:after="20"/>
        <w:jc w:val="both"/>
      </w:pPr>
      <w:r w:rsidRPr="00A151E6">
        <w:t>L</w:t>
      </w:r>
      <w:r>
        <w:t xml:space="preserve">e CFHE a </w:t>
      </w:r>
      <w:r w:rsidRPr="00A151E6">
        <w:t xml:space="preserve">commencé à travailler sur </w:t>
      </w:r>
      <w:r>
        <w:t>le</w:t>
      </w:r>
      <w:r w:rsidRPr="00A151E6">
        <w:t xml:space="preserve"> rapport alternatif en lançant en 2012 une consultation publique relative à la mise en œuvre de la Conv</w:t>
      </w:r>
      <w:r w:rsidR="00257D93">
        <w:t>ention en France, sur son site i</w:t>
      </w:r>
      <w:r w:rsidRPr="00A151E6">
        <w:t>nternet. Il a ensuite mis en place dès 2015 une série de groupes de travail chargés, chacun, de</w:t>
      </w:r>
      <w:r>
        <w:t xml:space="preserve"> travailler sur les conditions d’application de la Convention en France, puis de préparer, au lendemain de la parution en mai 2016 du rapport du gouvernement, la rédaction d’une réponse, article par article. La coordination de chaque groupe a été confiée, sur la base du volontariat, à des personnes</w:t>
      </w:r>
      <w:r w:rsidR="00367906">
        <w:t xml:space="preserve"> référentes</w:t>
      </w:r>
      <w:r>
        <w:t xml:space="preserve"> plus particulièrement impliquées et expertes sur les questions envisagées.</w:t>
      </w:r>
    </w:p>
    <w:p w:rsidR="00A151E6" w:rsidRDefault="00A151E6" w:rsidP="00F85197">
      <w:pPr>
        <w:spacing w:after="20"/>
        <w:jc w:val="both"/>
      </w:pPr>
    </w:p>
    <w:p w:rsidR="00367906" w:rsidRDefault="00367906" w:rsidP="00F85197">
      <w:pPr>
        <w:autoSpaceDE w:val="0"/>
        <w:autoSpaceDN w:val="0"/>
        <w:adjustRightInd w:val="0"/>
        <w:spacing w:after="20"/>
        <w:jc w:val="both"/>
        <w:rPr>
          <w:rFonts w:ascii="Calibri" w:hAnsi="Calibri" w:cs="Calibri"/>
          <w:color w:val="000000"/>
        </w:rPr>
      </w:pPr>
      <w:r>
        <w:rPr>
          <w:rFonts w:ascii="Calibri" w:hAnsi="Calibri" w:cs="Calibri"/>
          <w:color w:val="000000"/>
        </w:rPr>
        <w:t>Les référents ont effectué un travail de c</w:t>
      </w:r>
      <w:r w:rsidR="00A151E6" w:rsidRPr="00A151E6">
        <w:rPr>
          <w:rFonts w:ascii="Calibri" w:hAnsi="Calibri" w:cs="Calibri"/>
          <w:color w:val="000000"/>
        </w:rPr>
        <w:t>onstat</w:t>
      </w:r>
      <w:r>
        <w:rPr>
          <w:rFonts w:ascii="Calibri" w:hAnsi="Calibri" w:cs="Calibri"/>
          <w:color w:val="000000"/>
        </w:rPr>
        <w:t>s</w:t>
      </w:r>
      <w:r w:rsidR="00A151E6" w:rsidRPr="00A151E6">
        <w:rPr>
          <w:rFonts w:ascii="Calibri" w:hAnsi="Calibri" w:cs="Calibri"/>
          <w:color w:val="000000"/>
        </w:rPr>
        <w:t xml:space="preserve"> et </w:t>
      </w:r>
      <w:r w:rsidR="00C41FEE">
        <w:rPr>
          <w:rFonts w:ascii="Calibri" w:hAnsi="Calibri" w:cs="Calibri"/>
          <w:color w:val="000000"/>
        </w:rPr>
        <w:t xml:space="preserve">de </w:t>
      </w:r>
      <w:r w:rsidR="00A151E6" w:rsidRPr="00A151E6">
        <w:rPr>
          <w:rFonts w:ascii="Calibri" w:hAnsi="Calibri" w:cs="Calibri"/>
          <w:color w:val="000000"/>
        </w:rPr>
        <w:t>diagnostic</w:t>
      </w:r>
      <w:r>
        <w:rPr>
          <w:rFonts w:ascii="Calibri" w:hAnsi="Calibri" w:cs="Calibri"/>
          <w:color w:val="000000"/>
        </w:rPr>
        <w:t>s</w:t>
      </w:r>
      <w:r w:rsidR="00A151E6" w:rsidRPr="00A151E6">
        <w:rPr>
          <w:rFonts w:ascii="Calibri" w:hAnsi="Calibri" w:cs="Calibri"/>
          <w:color w:val="000000"/>
        </w:rPr>
        <w:t xml:space="preserve"> et </w:t>
      </w:r>
      <w:r w:rsidR="00257D93">
        <w:rPr>
          <w:rFonts w:ascii="Calibri" w:hAnsi="Calibri" w:cs="Calibri"/>
          <w:color w:val="000000"/>
        </w:rPr>
        <w:t>ont mesuré</w:t>
      </w:r>
      <w:r w:rsidR="00A151E6" w:rsidRPr="00A151E6">
        <w:rPr>
          <w:rFonts w:ascii="Calibri" w:hAnsi="Calibri" w:cs="Calibri"/>
          <w:color w:val="000000"/>
        </w:rPr>
        <w:t xml:space="preserve"> les écarts éventuels entre les objectifs et les préconisations de la Convention des Nations unies et la réalité des droits des personnes dans leur vie quotidienne. </w:t>
      </w:r>
      <w:r w:rsidR="00C41FEE">
        <w:rPr>
          <w:rFonts w:ascii="Calibri" w:hAnsi="Calibri" w:cs="Calibri"/>
          <w:color w:val="000000"/>
        </w:rPr>
        <w:t>A la s</w:t>
      </w:r>
      <w:r>
        <w:rPr>
          <w:rFonts w:ascii="Calibri" w:hAnsi="Calibri" w:cs="Calibri"/>
          <w:color w:val="000000"/>
        </w:rPr>
        <w:t xml:space="preserve">uite </w:t>
      </w:r>
      <w:r w:rsidR="00C41FEE">
        <w:rPr>
          <w:rFonts w:ascii="Calibri" w:hAnsi="Calibri" w:cs="Calibri"/>
          <w:color w:val="000000"/>
        </w:rPr>
        <w:t>de</w:t>
      </w:r>
      <w:r>
        <w:rPr>
          <w:rFonts w:ascii="Calibri" w:hAnsi="Calibri" w:cs="Calibri"/>
          <w:color w:val="000000"/>
        </w:rPr>
        <w:t xml:space="preserve"> plusieurs concertations </w:t>
      </w:r>
      <w:r w:rsidR="007025AB">
        <w:rPr>
          <w:rFonts w:ascii="Calibri" w:hAnsi="Calibri" w:cs="Calibri"/>
          <w:color w:val="000000"/>
        </w:rPr>
        <w:t>entre</w:t>
      </w:r>
      <w:r>
        <w:rPr>
          <w:rFonts w:ascii="Calibri" w:hAnsi="Calibri" w:cs="Calibri"/>
          <w:color w:val="000000"/>
        </w:rPr>
        <w:t xml:space="preserve"> le CFHE et </w:t>
      </w:r>
      <w:r w:rsidR="007025AB">
        <w:rPr>
          <w:rFonts w:ascii="Calibri" w:hAnsi="Calibri" w:cs="Calibri"/>
          <w:color w:val="000000"/>
        </w:rPr>
        <w:t>les</w:t>
      </w:r>
      <w:r>
        <w:rPr>
          <w:rFonts w:ascii="Calibri" w:hAnsi="Calibri" w:cs="Calibri"/>
          <w:color w:val="000000"/>
        </w:rPr>
        <w:t xml:space="preserve"> référents, le CFHE a publié en</w:t>
      </w:r>
      <w:r w:rsidR="00165CF5">
        <w:rPr>
          <w:rFonts w:ascii="Calibri" w:hAnsi="Calibri" w:cs="Calibri"/>
          <w:color w:val="000000"/>
        </w:rPr>
        <w:t xml:space="preserve"> janvier</w:t>
      </w:r>
      <w:r>
        <w:rPr>
          <w:rFonts w:ascii="Calibri" w:hAnsi="Calibri" w:cs="Calibri"/>
          <w:color w:val="000000"/>
        </w:rPr>
        <w:t xml:space="preserve"> </w:t>
      </w:r>
      <w:r w:rsidRPr="00D97E13">
        <w:rPr>
          <w:rFonts w:ascii="Calibri" w:hAnsi="Calibri" w:cs="Calibri"/>
          <w:color w:val="000000"/>
        </w:rPr>
        <w:t>2018</w:t>
      </w:r>
      <w:r>
        <w:rPr>
          <w:rFonts w:ascii="Calibri" w:hAnsi="Calibri" w:cs="Calibri"/>
          <w:color w:val="000000"/>
        </w:rPr>
        <w:t xml:space="preserve"> un état des lieux </w:t>
      </w:r>
      <w:r w:rsidR="007025AB">
        <w:rPr>
          <w:rFonts w:ascii="Calibri" w:hAnsi="Calibri" w:cs="Calibri"/>
          <w:color w:val="000000"/>
        </w:rPr>
        <w:t xml:space="preserve">riche, précis et concret dépeignant la situation des personnes handicapées en France. </w:t>
      </w:r>
    </w:p>
    <w:p w:rsidR="00D17D8A" w:rsidRDefault="00D17D8A" w:rsidP="00F85197">
      <w:pPr>
        <w:autoSpaceDE w:val="0"/>
        <w:autoSpaceDN w:val="0"/>
        <w:adjustRightInd w:val="0"/>
        <w:spacing w:after="20"/>
        <w:jc w:val="both"/>
        <w:rPr>
          <w:rFonts w:ascii="Calibri" w:hAnsi="Calibri" w:cs="Calibri"/>
          <w:color w:val="000000"/>
        </w:rPr>
      </w:pPr>
    </w:p>
    <w:p w:rsidR="00D17D8A" w:rsidRDefault="00D17D8A" w:rsidP="00F85197">
      <w:pPr>
        <w:autoSpaceDE w:val="0"/>
        <w:autoSpaceDN w:val="0"/>
        <w:adjustRightInd w:val="0"/>
        <w:spacing w:after="20"/>
        <w:jc w:val="both"/>
        <w:rPr>
          <w:rFonts w:ascii="Calibri" w:hAnsi="Calibri" w:cs="Calibri"/>
          <w:color w:val="000000"/>
        </w:rPr>
      </w:pPr>
      <w:r>
        <w:rPr>
          <w:rFonts w:ascii="Calibri" w:hAnsi="Calibri" w:cs="Calibri"/>
          <w:color w:val="000000"/>
        </w:rPr>
        <w:t xml:space="preserve">C’est dans le prolongement de la participation du CFHE à </w:t>
      </w:r>
      <w:r>
        <w:t>la 12</w:t>
      </w:r>
      <w:r w:rsidRPr="00874454">
        <w:rPr>
          <w:vertAlign w:val="superscript"/>
        </w:rPr>
        <w:t>ème</w:t>
      </w:r>
      <w:r w:rsidR="00874454">
        <w:t xml:space="preserve"> </w:t>
      </w:r>
      <w:r>
        <w:t xml:space="preserve">pré-session du Comité des droits des personnes handicapées le 23 septembre 2019 </w:t>
      </w:r>
      <w:r w:rsidR="00D97E13">
        <w:t xml:space="preserve">à Genève </w:t>
      </w:r>
      <w:r>
        <w:t xml:space="preserve">que </w:t>
      </w:r>
      <w:r w:rsidR="00D97E13">
        <w:t>ce rapport alternatif a été élaboré</w:t>
      </w:r>
      <w:r w:rsidR="008321D5">
        <w:t xml:space="preserve"> et adopté par le Collectif Handicaps (juin 2020).</w:t>
      </w:r>
    </w:p>
    <w:p w:rsidR="00367906" w:rsidRDefault="00367906" w:rsidP="00F85197">
      <w:pPr>
        <w:autoSpaceDE w:val="0"/>
        <w:autoSpaceDN w:val="0"/>
        <w:adjustRightInd w:val="0"/>
        <w:spacing w:after="20"/>
        <w:jc w:val="both"/>
        <w:rPr>
          <w:rFonts w:ascii="Calibri" w:hAnsi="Calibri" w:cs="Calibri"/>
          <w:color w:val="000000"/>
        </w:rPr>
      </w:pPr>
    </w:p>
    <w:p w:rsidR="003C44B3" w:rsidRDefault="003C44B3" w:rsidP="00F85197">
      <w:pPr>
        <w:spacing w:after="20"/>
        <w:rPr>
          <w:rFonts w:asciiTheme="majorHAnsi" w:eastAsiaTheme="majorEastAsia" w:hAnsiTheme="majorHAnsi" w:cstheme="majorBidi"/>
          <w:color w:val="2E74B5" w:themeColor="accent1" w:themeShade="BF"/>
          <w:sz w:val="32"/>
          <w:szCs w:val="32"/>
        </w:rPr>
      </w:pPr>
      <w:bookmarkStart w:id="3" w:name="_Toc18076096"/>
      <w:r>
        <w:br w:type="page"/>
      </w:r>
    </w:p>
    <w:p w:rsidR="00E14192" w:rsidRDefault="007A5ACB" w:rsidP="00F85197">
      <w:pPr>
        <w:pStyle w:val="Heading1"/>
        <w:spacing w:before="0" w:after="20"/>
        <w:jc w:val="both"/>
      </w:pPr>
      <w:bookmarkStart w:id="4" w:name="_Toc29546057"/>
      <w:bookmarkEnd w:id="3"/>
      <w:r>
        <w:lastRenderedPageBreak/>
        <w:t>Synthèse</w:t>
      </w:r>
      <w:bookmarkEnd w:id="4"/>
    </w:p>
    <w:p w:rsidR="007A5ACB" w:rsidRPr="008234AB" w:rsidRDefault="007A5ACB" w:rsidP="00F85197">
      <w:pPr>
        <w:spacing w:after="20"/>
        <w:jc w:val="both"/>
        <w:rPr>
          <w:rFonts w:cstheme="minorHAnsi"/>
          <w:sz w:val="16"/>
          <w:szCs w:val="16"/>
        </w:rPr>
      </w:pPr>
    </w:p>
    <w:p w:rsidR="007A5ACB" w:rsidRPr="00A41F3A" w:rsidRDefault="007A5ACB" w:rsidP="00F85197">
      <w:pPr>
        <w:spacing w:after="20" w:line="240" w:lineRule="auto"/>
        <w:jc w:val="both"/>
        <w:rPr>
          <w:rFonts w:cstheme="minorHAnsi"/>
        </w:rPr>
      </w:pPr>
      <w:r w:rsidRPr="00A41F3A">
        <w:rPr>
          <w:rFonts w:cstheme="minorHAnsi"/>
        </w:rPr>
        <w:t xml:space="preserve">D’une façon générale, la vision </w:t>
      </w:r>
      <w:r w:rsidR="00257D93">
        <w:rPr>
          <w:rFonts w:cstheme="minorHAnsi"/>
        </w:rPr>
        <w:t>des</w:t>
      </w:r>
      <w:r w:rsidR="00B610FD" w:rsidRPr="00A41F3A">
        <w:rPr>
          <w:rFonts w:cstheme="minorHAnsi"/>
        </w:rPr>
        <w:t xml:space="preserve"> autorités publiques,</w:t>
      </w:r>
      <w:r w:rsidR="00257D93">
        <w:rPr>
          <w:rFonts w:cstheme="minorHAnsi"/>
        </w:rPr>
        <w:t xml:space="preserve"> de</w:t>
      </w:r>
      <w:r w:rsidR="00B610FD" w:rsidRPr="00A41F3A">
        <w:rPr>
          <w:rFonts w:cstheme="minorHAnsi"/>
        </w:rPr>
        <w:t xml:space="preserve"> </w:t>
      </w:r>
      <w:r w:rsidR="00257D93">
        <w:rPr>
          <w:rFonts w:cstheme="minorHAnsi"/>
        </w:rPr>
        <w:t>l’administration, d</w:t>
      </w:r>
      <w:r w:rsidR="00B610FD" w:rsidRPr="00A41F3A">
        <w:rPr>
          <w:rFonts w:cstheme="minorHAnsi"/>
        </w:rPr>
        <w:t xml:space="preserve">es élus et </w:t>
      </w:r>
      <w:r w:rsidR="00257D93">
        <w:rPr>
          <w:rFonts w:cstheme="minorHAnsi"/>
        </w:rPr>
        <w:t>du</w:t>
      </w:r>
      <w:r w:rsidR="00B610FD" w:rsidRPr="00A41F3A">
        <w:rPr>
          <w:rFonts w:cstheme="minorHAnsi"/>
        </w:rPr>
        <w:t xml:space="preserve"> législateur </w:t>
      </w:r>
      <w:r w:rsidR="00257D93">
        <w:rPr>
          <w:rFonts w:cstheme="minorHAnsi"/>
        </w:rPr>
        <w:t xml:space="preserve">vis-à-vis </w:t>
      </w:r>
      <w:r w:rsidR="00B610FD">
        <w:rPr>
          <w:rFonts w:cstheme="minorHAnsi"/>
        </w:rPr>
        <w:t>des</w:t>
      </w:r>
      <w:r w:rsidRPr="00A41F3A">
        <w:rPr>
          <w:rFonts w:cstheme="minorHAnsi"/>
        </w:rPr>
        <w:t xml:space="preserve"> personnes </w:t>
      </w:r>
      <w:r w:rsidR="00B610FD">
        <w:rPr>
          <w:rFonts w:cstheme="minorHAnsi"/>
        </w:rPr>
        <w:t>en situation de handicap</w:t>
      </w:r>
      <w:r w:rsidRPr="00A41F3A">
        <w:rPr>
          <w:rFonts w:cstheme="minorHAnsi"/>
        </w:rPr>
        <w:t xml:space="preserve"> reste fondamentalement médicale</w:t>
      </w:r>
      <w:r w:rsidR="00B610FD">
        <w:rPr>
          <w:rFonts w:cstheme="minorHAnsi"/>
        </w:rPr>
        <w:t>,</w:t>
      </w:r>
      <w:r w:rsidRPr="00A41F3A">
        <w:rPr>
          <w:rFonts w:cstheme="minorHAnsi"/>
        </w:rPr>
        <w:t xml:space="preserve"> comme en témoigne la définition donnée par la loi du 11 février 2005</w:t>
      </w:r>
      <w:r w:rsidR="00874454">
        <w:rPr>
          <w:rStyle w:val="EndnoteReference"/>
          <w:rFonts w:cstheme="minorHAnsi"/>
        </w:rPr>
        <w:endnoteReference w:id="1"/>
      </w:r>
      <w:r w:rsidRPr="00A41F3A">
        <w:rPr>
          <w:rFonts w:cstheme="minorHAnsi"/>
        </w:rPr>
        <w:t xml:space="preserve">. De fait, le corpus juridique repose trop peu sur la considération du rôle de l’environnement, </w:t>
      </w:r>
      <w:r w:rsidR="007D29B7">
        <w:rPr>
          <w:rFonts w:cstheme="minorHAnsi"/>
        </w:rPr>
        <w:t xml:space="preserve">de </w:t>
      </w:r>
      <w:r w:rsidRPr="00A41F3A">
        <w:rPr>
          <w:rFonts w:cstheme="minorHAnsi"/>
        </w:rPr>
        <w:t xml:space="preserve">la conception universelle et </w:t>
      </w:r>
      <w:r w:rsidR="007D29B7">
        <w:rPr>
          <w:rFonts w:cstheme="minorHAnsi"/>
        </w:rPr>
        <w:t xml:space="preserve">de </w:t>
      </w:r>
      <w:r w:rsidRPr="00A41F3A">
        <w:rPr>
          <w:rFonts w:cstheme="minorHAnsi"/>
        </w:rPr>
        <w:t>la prise en compte véritable des droits des personnes.</w:t>
      </w:r>
      <w:r w:rsidRPr="00472066">
        <w:rPr>
          <w:rFonts w:cstheme="minorHAnsi"/>
        </w:rPr>
        <w:t xml:space="preserve"> </w:t>
      </w:r>
      <w:r w:rsidRPr="00A41F3A">
        <w:rPr>
          <w:rFonts w:cstheme="minorHAnsi"/>
        </w:rPr>
        <w:t xml:space="preserve">D’autant qu’il n’existe pas de données statistiques fiables pour pouvoir évaluer les besoins de ces personnes et concevoir des politiques publiques adaptées. </w:t>
      </w:r>
    </w:p>
    <w:p w:rsidR="007A5ACB" w:rsidRPr="008234AB" w:rsidRDefault="007A5ACB" w:rsidP="00F85197">
      <w:pPr>
        <w:spacing w:after="20" w:line="240" w:lineRule="auto"/>
        <w:jc w:val="both"/>
        <w:rPr>
          <w:rFonts w:cstheme="minorHAnsi"/>
          <w:sz w:val="16"/>
          <w:szCs w:val="16"/>
        </w:rPr>
      </w:pPr>
    </w:p>
    <w:p w:rsidR="007A5ACB" w:rsidRPr="00A41F3A" w:rsidRDefault="007A5ACB" w:rsidP="00F85197">
      <w:pPr>
        <w:spacing w:after="20" w:line="240" w:lineRule="auto"/>
        <w:jc w:val="both"/>
        <w:rPr>
          <w:rFonts w:cstheme="minorHAnsi"/>
        </w:rPr>
      </w:pPr>
      <w:r w:rsidRPr="00A41F3A">
        <w:rPr>
          <w:rFonts w:cstheme="minorHAnsi"/>
        </w:rPr>
        <w:t xml:space="preserve">En témoigne notamment toutes les difficultés auxquelles les personnes handicapées doivent </w:t>
      </w:r>
      <w:r w:rsidR="00D97E13">
        <w:rPr>
          <w:rFonts w:cstheme="minorHAnsi"/>
        </w:rPr>
        <w:t xml:space="preserve">continuellement </w:t>
      </w:r>
      <w:r w:rsidRPr="00A41F3A">
        <w:rPr>
          <w:rFonts w:cstheme="minorHAnsi"/>
        </w:rPr>
        <w:t xml:space="preserve">faire face pour </w:t>
      </w:r>
      <w:r w:rsidR="00D97E13">
        <w:rPr>
          <w:rFonts w:cstheme="minorHAnsi"/>
        </w:rPr>
        <w:t xml:space="preserve">pouvoir </w:t>
      </w:r>
      <w:r w:rsidRPr="00A41F3A">
        <w:rPr>
          <w:rFonts w:cstheme="minorHAnsi"/>
        </w:rPr>
        <w:t>vivre en autonomie</w:t>
      </w:r>
      <w:r w:rsidR="00D97E13">
        <w:rPr>
          <w:rFonts w:cstheme="minorHAnsi"/>
        </w:rPr>
        <w:t xml:space="preserve"> : </w:t>
      </w:r>
      <w:r w:rsidRPr="00A41F3A">
        <w:rPr>
          <w:rFonts w:cstheme="minorHAnsi"/>
        </w:rPr>
        <w:t>la loi ELAN</w:t>
      </w:r>
      <w:r w:rsidR="00874454">
        <w:rPr>
          <w:rStyle w:val="EndnoteReference"/>
          <w:rFonts w:cstheme="minorHAnsi"/>
        </w:rPr>
        <w:endnoteReference w:id="2"/>
      </w:r>
      <w:r w:rsidRPr="00A41F3A">
        <w:rPr>
          <w:rFonts w:cstheme="minorHAnsi"/>
        </w:rPr>
        <w:t xml:space="preserve"> </w:t>
      </w:r>
      <w:r w:rsidR="00993180">
        <w:rPr>
          <w:rFonts w:cstheme="minorHAnsi"/>
        </w:rPr>
        <w:t>adoptée en</w:t>
      </w:r>
      <w:r w:rsidRPr="00A41F3A">
        <w:rPr>
          <w:rFonts w:cstheme="minorHAnsi"/>
        </w:rPr>
        <w:t xml:space="preserve"> 2018, qui réduit à 2</w:t>
      </w:r>
      <w:r w:rsidR="00D97E13">
        <w:rPr>
          <w:rFonts w:cstheme="minorHAnsi"/>
        </w:rPr>
        <w:t xml:space="preserve">0% le nombre de logements neufs, </w:t>
      </w:r>
      <w:r w:rsidRPr="00A41F3A">
        <w:rPr>
          <w:rFonts w:cstheme="minorHAnsi"/>
        </w:rPr>
        <w:t>l’absence de ressources suffisantes qui limite la capacité de choix entre établissements, services sociaux et médico-sociaux ou</w:t>
      </w:r>
      <w:r w:rsidR="00D97E13">
        <w:rPr>
          <w:rFonts w:cstheme="minorHAnsi"/>
        </w:rPr>
        <w:t xml:space="preserve"> rend impossible la rémunération d’</w:t>
      </w:r>
      <w:r w:rsidRPr="00A41F3A">
        <w:rPr>
          <w:rFonts w:cstheme="minorHAnsi"/>
        </w:rPr>
        <w:t xml:space="preserve">un aidant ou des services à domicile. La précarité est aussi problématique en matière d’accès aux soins, </w:t>
      </w:r>
      <w:r w:rsidR="00C41FEE">
        <w:rPr>
          <w:rFonts w:cstheme="minorHAnsi"/>
        </w:rPr>
        <w:t xml:space="preserve">d’autant qu’elle est </w:t>
      </w:r>
      <w:r w:rsidRPr="00A41F3A">
        <w:rPr>
          <w:rFonts w:cstheme="minorHAnsi"/>
        </w:rPr>
        <w:t>couplé</w:t>
      </w:r>
      <w:r w:rsidR="00C41FEE">
        <w:rPr>
          <w:rFonts w:cstheme="minorHAnsi"/>
        </w:rPr>
        <w:t>e</w:t>
      </w:r>
      <w:r w:rsidRPr="00A41F3A">
        <w:rPr>
          <w:rFonts w:cstheme="minorHAnsi"/>
        </w:rPr>
        <w:t xml:space="preserve"> avec l’inaccessibilité de certains cabinets, équipements ou informations, le manque de formation des professionnels de santé ou des refus </w:t>
      </w:r>
      <w:r w:rsidR="007D29B7">
        <w:rPr>
          <w:rFonts w:cstheme="minorHAnsi"/>
        </w:rPr>
        <w:t xml:space="preserve">de soins </w:t>
      </w:r>
      <w:r w:rsidRPr="00A41F3A">
        <w:rPr>
          <w:rFonts w:cstheme="minorHAnsi"/>
        </w:rPr>
        <w:t>discriminatoires</w:t>
      </w:r>
      <w:r w:rsidR="00C41FEE">
        <w:rPr>
          <w:rFonts w:cstheme="minorHAnsi"/>
        </w:rPr>
        <w:t xml:space="preserve"> envers les personnes en situation de handicap</w:t>
      </w:r>
      <w:r w:rsidRPr="00A41F3A">
        <w:rPr>
          <w:rFonts w:cstheme="minorHAnsi"/>
        </w:rPr>
        <w:t>.</w:t>
      </w:r>
    </w:p>
    <w:p w:rsidR="007A5ACB" w:rsidRPr="008234AB" w:rsidRDefault="007A5ACB" w:rsidP="00F85197">
      <w:pPr>
        <w:spacing w:after="20" w:line="240" w:lineRule="auto"/>
        <w:jc w:val="both"/>
        <w:rPr>
          <w:rFonts w:cstheme="minorHAnsi"/>
          <w:sz w:val="16"/>
          <w:szCs w:val="16"/>
        </w:rPr>
      </w:pPr>
    </w:p>
    <w:p w:rsidR="007A5ACB" w:rsidRPr="00A41F3A" w:rsidRDefault="007A5ACB" w:rsidP="00F85197">
      <w:pPr>
        <w:spacing w:after="20" w:line="240" w:lineRule="auto"/>
        <w:jc w:val="both"/>
        <w:rPr>
          <w:rFonts w:cstheme="minorHAnsi"/>
        </w:rPr>
      </w:pPr>
      <w:r w:rsidRPr="00A41F3A">
        <w:rPr>
          <w:rFonts w:cstheme="minorHAnsi"/>
        </w:rPr>
        <w:t xml:space="preserve">Le taux de chômage des personnes en situation de handicap est deux fois et demi supérieur à celui généralement constaté, et l’est encore plus pour les femmes. Malgré une obligation d’emploi en milieu de travail ordinaire, les personnes </w:t>
      </w:r>
      <w:r w:rsidR="00C2223D">
        <w:rPr>
          <w:rFonts w:cstheme="minorHAnsi"/>
        </w:rPr>
        <w:t>en situation de handicap</w:t>
      </w:r>
      <w:r w:rsidRPr="00A41F3A">
        <w:rPr>
          <w:rFonts w:cstheme="minorHAnsi"/>
        </w:rPr>
        <w:t xml:space="preserve"> sont souvent victimes </w:t>
      </w:r>
      <w:r w:rsidR="00C41FEE">
        <w:rPr>
          <w:rFonts w:cstheme="minorHAnsi"/>
        </w:rPr>
        <w:t>là encore de</w:t>
      </w:r>
      <w:r w:rsidRPr="00A41F3A">
        <w:rPr>
          <w:rFonts w:cstheme="minorHAnsi"/>
        </w:rPr>
        <w:t xml:space="preserve"> discriminations. Quant aux établissements et services d’aide par le travail (ESAT), qui </w:t>
      </w:r>
      <w:r w:rsidR="00C41FEE">
        <w:rPr>
          <w:rFonts w:cstheme="minorHAnsi"/>
        </w:rPr>
        <w:t xml:space="preserve">ont pour mission de préparer </w:t>
      </w:r>
      <w:r w:rsidRPr="00A41F3A">
        <w:rPr>
          <w:rFonts w:cstheme="minorHAnsi"/>
        </w:rPr>
        <w:t xml:space="preserve">à </w:t>
      </w:r>
      <w:r w:rsidR="007D29B7">
        <w:rPr>
          <w:rFonts w:cstheme="minorHAnsi"/>
        </w:rPr>
        <w:t>la</w:t>
      </w:r>
      <w:r w:rsidRPr="00A41F3A">
        <w:rPr>
          <w:rFonts w:cstheme="minorHAnsi"/>
        </w:rPr>
        <w:t xml:space="preserve"> transition vers le milieu ordinaire, l’Etat n’a toujours pas mis en place un cadre juridique et financier leur permettant d’agir comme des plateformes pour la formation et</w:t>
      </w:r>
      <w:r w:rsidR="00C41FEE">
        <w:rPr>
          <w:rFonts w:cstheme="minorHAnsi"/>
        </w:rPr>
        <w:t xml:space="preserve"> l’insertion professionnelle</w:t>
      </w:r>
      <w:r w:rsidRPr="00A41F3A">
        <w:rPr>
          <w:rFonts w:cstheme="minorHAnsi"/>
        </w:rPr>
        <w:t xml:space="preserve">. </w:t>
      </w:r>
    </w:p>
    <w:p w:rsidR="007A5ACB" w:rsidRPr="00A41F3A" w:rsidRDefault="007A5ACB" w:rsidP="00F85197">
      <w:pPr>
        <w:spacing w:after="20" w:line="240" w:lineRule="auto"/>
        <w:jc w:val="both"/>
        <w:rPr>
          <w:rFonts w:cstheme="minorHAnsi"/>
        </w:rPr>
      </w:pPr>
      <w:r w:rsidRPr="00A41F3A">
        <w:rPr>
          <w:rFonts w:cstheme="minorHAnsi"/>
        </w:rPr>
        <w:t xml:space="preserve">La rupture en termes d’égalité des chances se fait dès le plus jeune âge, car le système éducatif français ne favorise pas l’éducation inclusive. Celle-ci dépend encore trop de l’investissement personnel d’un enseignant, d’un cadre administratif et de parents. Nombre d’enfants </w:t>
      </w:r>
      <w:r w:rsidR="007D29B7">
        <w:rPr>
          <w:rFonts w:cstheme="minorHAnsi"/>
        </w:rPr>
        <w:t>en situation de handicap</w:t>
      </w:r>
      <w:r w:rsidRPr="00A41F3A">
        <w:rPr>
          <w:rFonts w:cstheme="minorHAnsi"/>
        </w:rPr>
        <w:t xml:space="preserve"> restent donc non scolarisés ou scolarisés dans des établissements spécialisés.</w:t>
      </w:r>
    </w:p>
    <w:p w:rsidR="007A5ACB" w:rsidRPr="008234AB" w:rsidRDefault="007A5ACB" w:rsidP="00F85197">
      <w:pPr>
        <w:spacing w:after="20" w:line="240" w:lineRule="auto"/>
        <w:jc w:val="both"/>
        <w:rPr>
          <w:rFonts w:cstheme="minorHAnsi"/>
          <w:sz w:val="16"/>
          <w:szCs w:val="16"/>
        </w:rPr>
      </w:pPr>
    </w:p>
    <w:p w:rsidR="007A5ACB" w:rsidRPr="00A41F3A" w:rsidRDefault="007A5ACB" w:rsidP="00F85197">
      <w:pPr>
        <w:spacing w:after="20" w:line="240" w:lineRule="auto"/>
        <w:jc w:val="both"/>
        <w:rPr>
          <w:rFonts w:cstheme="minorHAnsi"/>
        </w:rPr>
      </w:pPr>
      <w:r w:rsidRPr="00A41F3A">
        <w:rPr>
          <w:rFonts w:cstheme="minorHAnsi"/>
        </w:rPr>
        <w:t>Pour certaines personnes en situation de handicap, la jouissance de leur capacité juridique est fortement limitée. S’il convient de saluer l’avancée majeure en 2019</w:t>
      </w:r>
      <w:r w:rsidR="00874454">
        <w:rPr>
          <w:rStyle w:val="EndnoteReference"/>
          <w:rFonts w:cstheme="minorHAnsi"/>
        </w:rPr>
        <w:endnoteReference w:id="3"/>
      </w:r>
      <w:r w:rsidRPr="00A41F3A">
        <w:rPr>
          <w:rFonts w:cstheme="minorHAnsi"/>
        </w:rPr>
        <w:t xml:space="preserve"> de la loi prévoyant la pleine reconnaissance, pour tous les majeurs protégés, du droit de voter, de se marier, de se pacser et de divorcer sans autorisation préalable du juge, la participation directe aux affaires publiques est loin d’être une réalité pour les personnes sous tutelle et curatelle qui demeurent inéligibles, et dont la possibilité de voter ne s’accompagne pas de moyens matériels suffisants à l’exercice de ce droit. Qui plus est, on constate encore en France trop de cas d’hospitalisations sans consentement et des pratiques en psychiatrie contestées </w:t>
      </w:r>
      <w:r w:rsidR="00C2223D">
        <w:rPr>
          <w:rFonts w:cstheme="minorHAnsi"/>
        </w:rPr>
        <w:t>par</w:t>
      </w:r>
      <w:r w:rsidR="0099394A">
        <w:rPr>
          <w:rFonts w:cstheme="minorHAnsi"/>
        </w:rPr>
        <w:t xml:space="preserve"> les personnes </w:t>
      </w:r>
      <w:r w:rsidR="00C2223D" w:rsidRPr="00A41F3A">
        <w:rPr>
          <w:rFonts w:cstheme="minorHAnsi"/>
        </w:rPr>
        <w:t>en situation de handicap</w:t>
      </w:r>
      <w:r w:rsidR="00C2223D">
        <w:rPr>
          <w:rFonts w:cstheme="minorHAnsi"/>
        </w:rPr>
        <w:t xml:space="preserve"> et leurs familles</w:t>
      </w:r>
      <w:r w:rsidRPr="00A41F3A">
        <w:rPr>
          <w:rFonts w:cstheme="minorHAnsi"/>
        </w:rPr>
        <w:t xml:space="preserve">. Un investissement humain et financier supplémentaire s’impose, en particulier, dans le domaine de la santé mentale pour assurer que tous les traitements et les services dont bénéficient les personnes </w:t>
      </w:r>
      <w:r w:rsidR="00C2223D" w:rsidRPr="00A41F3A">
        <w:rPr>
          <w:rFonts w:cstheme="minorHAnsi"/>
        </w:rPr>
        <w:t xml:space="preserve">en situation de handicap </w:t>
      </w:r>
      <w:r w:rsidR="00C41FEE">
        <w:rPr>
          <w:rFonts w:cstheme="minorHAnsi"/>
        </w:rPr>
        <w:t>respectent pleinement la notion de</w:t>
      </w:r>
      <w:r w:rsidRPr="00A41F3A">
        <w:rPr>
          <w:rFonts w:cstheme="minorHAnsi"/>
        </w:rPr>
        <w:t xml:space="preserve"> consentement. </w:t>
      </w:r>
    </w:p>
    <w:p w:rsidR="007A5ACB" w:rsidRPr="008234AB" w:rsidRDefault="007A5ACB" w:rsidP="00F85197">
      <w:pPr>
        <w:spacing w:after="20" w:line="240" w:lineRule="auto"/>
        <w:jc w:val="both"/>
        <w:rPr>
          <w:rFonts w:cstheme="minorHAnsi"/>
          <w:sz w:val="16"/>
          <w:szCs w:val="16"/>
        </w:rPr>
      </w:pPr>
    </w:p>
    <w:p w:rsidR="007A5ACB" w:rsidRPr="00A41F3A" w:rsidRDefault="007A5ACB" w:rsidP="00F85197">
      <w:pPr>
        <w:spacing w:after="20" w:line="240" w:lineRule="auto"/>
        <w:jc w:val="both"/>
        <w:rPr>
          <w:rFonts w:cstheme="minorHAnsi"/>
        </w:rPr>
      </w:pPr>
      <w:r w:rsidRPr="00A41F3A">
        <w:rPr>
          <w:rFonts w:cstheme="minorHAnsi"/>
        </w:rPr>
        <w:t xml:space="preserve">La vie privée et familiale des personnes </w:t>
      </w:r>
      <w:r w:rsidR="007D29B7">
        <w:rPr>
          <w:rFonts w:cstheme="minorHAnsi"/>
        </w:rPr>
        <w:t>est</w:t>
      </w:r>
      <w:r w:rsidRPr="00A41F3A">
        <w:rPr>
          <w:rFonts w:cstheme="minorHAnsi"/>
        </w:rPr>
        <w:t xml:space="preserve"> aussi entravée. Les personnes </w:t>
      </w:r>
      <w:r w:rsidR="00C2223D" w:rsidRPr="00A41F3A">
        <w:rPr>
          <w:rFonts w:cstheme="minorHAnsi"/>
        </w:rPr>
        <w:t xml:space="preserve">en situation de handicap </w:t>
      </w:r>
      <w:r w:rsidRPr="00A41F3A">
        <w:rPr>
          <w:rFonts w:cstheme="minorHAnsi"/>
        </w:rPr>
        <w:t>tendent à être considérées comme asexuées, ce qui engendre une réponse inadaptée en matière d’éducation sexuelle, une grande difficulté à avoir accès à des soins gynécologiques et</w:t>
      </w:r>
      <w:r w:rsidR="00C2223D">
        <w:rPr>
          <w:rFonts w:cstheme="minorHAnsi"/>
        </w:rPr>
        <w:t xml:space="preserve"> parfois</w:t>
      </w:r>
      <w:r w:rsidRPr="00A41F3A">
        <w:rPr>
          <w:rFonts w:cstheme="minorHAnsi"/>
        </w:rPr>
        <w:t xml:space="preserve"> de manière plus grave, la stérilisation forcée des femmes et des filles </w:t>
      </w:r>
      <w:r w:rsidR="00C2223D" w:rsidRPr="00A41F3A">
        <w:rPr>
          <w:rFonts w:cstheme="minorHAnsi"/>
        </w:rPr>
        <w:t>en situation de handicap</w:t>
      </w:r>
      <w:r w:rsidRPr="00A41F3A">
        <w:rPr>
          <w:rFonts w:cstheme="minorHAnsi"/>
        </w:rPr>
        <w:t xml:space="preserve">. Les violences sexuelles à l’égard des femmes </w:t>
      </w:r>
      <w:r w:rsidR="00C2223D" w:rsidRPr="00A41F3A">
        <w:rPr>
          <w:rFonts w:cstheme="minorHAnsi"/>
        </w:rPr>
        <w:t xml:space="preserve">en situation de handicap </w:t>
      </w:r>
      <w:r w:rsidRPr="00A41F3A">
        <w:rPr>
          <w:rFonts w:cstheme="minorHAnsi"/>
        </w:rPr>
        <w:t xml:space="preserve">restent également un sujet préoccupant en </w:t>
      </w:r>
      <w:r w:rsidR="0099394A">
        <w:rPr>
          <w:rFonts w:cstheme="minorHAnsi"/>
        </w:rPr>
        <w:t>France. De façon plus générale</w:t>
      </w:r>
      <w:r w:rsidRPr="00A41F3A">
        <w:rPr>
          <w:rFonts w:cstheme="minorHAnsi"/>
        </w:rPr>
        <w:t>, elles sont invisibles et oubliées des politiques publiques qui ne croisent pas handicap et genre.</w:t>
      </w:r>
    </w:p>
    <w:p w:rsidR="007A5ACB" w:rsidRPr="00A41F3A" w:rsidRDefault="007A5ACB" w:rsidP="00F85197">
      <w:pPr>
        <w:spacing w:after="20" w:line="240" w:lineRule="auto"/>
        <w:jc w:val="both"/>
        <w:rPr>
          <w:rFonts w:cstheme="minorHAnsi"/>
        </w:rPr>
      </w:pPr>
      <w:r w:rsidRPr="00A41F3A">
        <w:rPr>
          <w:rFonts w:cstheme="minorHAnsi"/>
        </w:rPr>
        <w:t xml:space="preserve">Quant aux enfants, leur parole sur leur situation personnelle est très rarement prise en compte, et le handicap accentue encore ces difficultés. </w:t>
      </w:r>
    </w:p>
    <w:p w:rsidR="00033203" w:rsidRDefault="006B2F7B" w:rsidP="00033203">
      <w:pPr>
        <w:pStyle w:val="Heading1"/>
      </w:pPr>
      <w:bookmarkStart w:id="5" w:name="_Toc29546058"/>
      <w:r>
        <w:t>Rapport alternatif</w:t>
      </w:r>
      <w:bookmarkEnd w:id="5"/>
    </w:p>
    <w:p w:rsidR="00033203" w:rsidRDefault="00033203" w:rsidP="00B1229B">
      <w:pPr>
        <w:spacing w:after="20"/>
        <w:jc w:val="both"/>
        <w:rPr>
          <w:b/>
        </w:rPr>
      </w:pPr>
    </w:p>
    <w:p w:rsidR="00756664" w:rsidRDefault="00756664" w:rsidP="00B1229B">
      <w:pPr>
        <w:autoSpaceDE w:val="0"/>
        <w:autoSpaceDN w:val="0"/>
        <w:adjustRightInd w:val="0"/>
        <w:spacing w:after="20"/>
        <w:jc w:val="both"/>
        <w:rPr>
          <w:rFonts w:ascii="Calibri" w:hAnsi="Calibri" w:cs="Calibri"/>
          <w:color w:val="000000"/>
        </w:rPr>
      </w:pPr>
    </w:p>
    <w:p w:rsidR="00291ED1" w:rsidRDefault="00291ED1" w:rsidP="00B1229B">
      <w:pPr>
        <w:autoSpaceDE w:val="0"/>
        <w:autoSpaceDN w:val="0"/>
        <w:adjustRightInd w:val="0"/>
        <w:spacing w:after="20"/>
        <w:jc w:val="both"/>
        <w:rPr>
          <w:rFonts w:ascii="Calibri" w:hAnsi="Calibri" w:cs="Calibri"/>
          <w:color w:val="000000"/>
        </w:rPr>
      </w:pPr>
    </w:p>
    <w:p w:rsidR="006B2F7B" w:rsidRDefault="006B2F7B" w:rsidP="006B2F7B">
      <w:pPr>
        <w:pStyle w:val="Heading2"/>
        <w:numPr>
          <w:ilvl w:val="0"/>
          <w:numId w:val="1"/>
        </w:numPr>
        <w:spacing w:before="0" w:after="20"/>
        <w:jc w:val="both"/>
      </w:pPr>
      <w:bookmarkStart w:id="6" w:name="_Toc18076098"/>
      <w:bookmarkStart w:id="7" w:name="_Toc29546059"/>
      <w:r w:rsidRPr="00AB122D">
        <w:t>Objet, définitions, principes généraux et obligations générales</w:t>
      </w:r>
      <w:r>
        <w:t xml:space="preserve"> (art.</w:t>
      </w:r>
      <w:r w:rsidRPr="00AB122D">
        <w:t xml:space="preserve"> 1 à 4)</w:t>
      </w:r>
      <w:bookmarkEnd w:id="6"/>
      <w:bookmarkEnd w:id="7"/>
      <w:r w:rsidRPr="00AB122D">
        <w:t xml:space="preserve"> </w:t>
      </w:r>
    </w:p>
    <w:p w:rsidR="006B2F7B" w:rsidRDefault="006B2F7B" w:rsidP="00B1229B">
      <w:pPr>
        <w:autoSpaceDE w:val="0"/>
        <w:autoSpaceDN w:val="0"/>
        <w:adjustRightInd w:val="0"/>
        <w:spacing w:after="20"/>
        <w:jc w:val="both"/>
        <w:rPr>
          <w:rFonts w:ascii="Calibri" w:hAnsi="Calibri" w:cs="Calibri"/>
          <w:b/>
          <w:color w:val="000000"/>
        </w:rPr>
      </w:pPr>
    </w:p>
    <w:p w:rsidR="006B2F7B" w:rsidRPr="006B2F7B" w:rsidRDefault="006B2F7B" w:rsidP="006B2F7B">
      <w:pPr>
        <w:pStyle w:val="Heading4"/>
        <w:spacing w:before="0" w:after="20"/>
        <w:ind w:firstLine="360"/>
        <w:jc w:val="both"/>
      </w:pPr>
      <w:r w:rsidRPr="006B2F7B">
        <w:lastRenderedPageBreak/>
        <w:t>Obligations générales</w:t>
      </w:r>
    </w:p>
    <w:p w:rsidR="00B1229B" w:rsidRPr="00FC3F44" w:rsidRDefault="00B1229B" w:rsidP="00B1229B">
      <w:pPr>
        <w:spacing w:after="20"/>
        <w:jc w:val="both"/>
      </w:pPr>
    </w:p>
    <w:p w:rsidR="00AF067E" w:rsidRDefault="00AF067E" w:rsidP="00AF067E">
      <w:pPr>
        <w:spacing w:after="20"/>
        <w:jc w:val="both"/>
      </w:pPr>
      <w:r>
        <w:t xml:space="preserve">L’article 35 de la Convention </w:t>
      </w:r>
      <w:r w:rsidR="008234AB">
        <w:t xml:space="preserve">relative aux droits des personnes handicapées </w:t>
      </w:r>
      <w:r>
        <w:t>fait obligation aux Etats signataires de rendre compte de l’application de la Convention au Comité deux ans après la ratification.</w:t>
      </w:r>
    </w:p>
    <w:p w:rsidR="00AF067E" w:rsidRDefault="00AF067E" w:rsidP="00AF067E">
      <w:pPr>
        <w:spacing w:after="20"/>
        <w:jc w:val="both"/>
      </w:pPr>
      <w:r>
        <w:t xml:space="preserve">Or, ce n’est qu’en mai 2016, quatre ans après la date à laquelle il aurait dû être remis, que la France a rendu son rapport. </w:t>
      </w:r>
    </w:p>
    <w:p w:rsidR="00AF067E" w:rsidRDefault="00AF067E" w:rsidP="00AF067E">
      <w:pPr>
        <w:spacing w:after="20"/>
        <w:jc w:val="both"/>
      </w:pPr>
      <w:r>
        <w:t xml:space="preserve">Ce retard, comme la lenteur dans la mise en œuvre des relais </w:t>
      </w:r>
      <w:r w:rsidR="008234AB">
        <w:t>au sein des</w:t>
      </w:r>
      <w:r>
        <w:t xml:space="preserve"> ministères  – quand ils l’ont été</w:t>
      </w:r>
      <w:r w:rsidR="00DF4DB6">
        <w:t xml:space="preserve">   </w:t>
      </w:r>
      <w:r>
        <w:t>–, exigés au titre de l</w:t>
      </w:r>
      <w:r w:rsidR="00DF4DB6">
        <w:t>’article 33 de la</w:t>
      </w:r>
      <w:r>
        <w:t xml:space="preserve"> Convention</w:t>
      </w:r>
      <w:r w:rsidR="00DF4DB6">
        <w:t xml:space="preserve">, </w:t>
      </w:r>
      <w:r>
        <w:t xml:space="preserve">et la façon dont a systématiquement </w:t>
      </w:r>
      <w:r w:rsidR="00DF4DB6">
        <w:t xml:space="preserve">été </w:t>
      </w:r>
      <w:r>
        <w:t xml:space="preserve">ignorée la circulaire du Premier ministre du 4 septembre </w:t>
      </w:r>
      <w:r w:rsidRPr="00C35301">
        <w:t>2012</w:t>
      </w:r>
      <w:r w:rsidRPr="00C35301">
        <w:rPr>
          <w:rStyle w:val="EndnoteReference"/>
        </w:rPr>
        <w:endnoteReference w:id="4"/>
      </w:r>
      <w:r>
        <w:t xml:space="preserve"> demandant aux ministères de prévoir une étude d’impact, à la lumière de la Convention, des dispositions de tout projet de loi sur la situation des personnes handicapées, témoignent de l’absence de volonté politique </w:t>
      </w:r>
      <w:r w:rsidR="00DF4DB6">
        <w:t>de</w:t>
      </w:r>
      <w:r w:rsidR="008234AB">
        <w:t xml:space="preserve"> mettre en œuvre ses préconisations</w:t>
      </w:r>
      <w:r>
        <w:t>.</w:t>
      </w:r>
    </w:p>
    <w:p w:rsidR="00AF067E" w:rsidRPr="005D608D" w:rsidRDefault="00AF067E" w:rsidP="00AF067E">
      <w:pPr>
        <w:spacing w:after="20"/>
        <w:jc w:val="both"/>
        <w:rPr>
          <w:rFonts w:ascii="Calibri" w:hAnsi="Calibri" w:cs="Calibri"/>
          <w:b/>
          <w:color w:val="000000"/>
        </w:rPr>
      </w:pPr>
    </w:p>
    <w:p w:rsidR="00AF067E" w:rsidRDefault="00AF067E" w:rsidP="00AF067E">
      <w:pPr>
        <w:autoSpaceDE w:val="0"/>
        <w:autoSpaceDN w:val="0"/>
        <w:adjustRightInd w:val="0"/>
        <w:spacing w:after="20"/>
        <w:jc w:val="both"/>
        <w:rPr>
          <w:rFonts w:ascii="Calibri" w:hAnsi="Calibri"/>
        </w:rPr>
      </w:pPr>
      <w:r w:rsidRPr="00A41F3A">
        <w:rPr>
          <w:rFonts w:ascii="Calibri" w:hAnsi="Calibri"/>
        </w:rPr>
        <w:t xml:space="preserve">L’exercice auquel s’est ainsi collectivement livré le mouvement associatif français démontre que dans chaque domaine considéré, une volonté politique forte et durable </w:t>
      </w:r>
      <w:r w:rsidR="00A370FC">
        <w:rPr>
          <w:rFonts w:ascii="Calibri" w:hAnsi="Calibri"/>
        </w:rPr>
        <w:t>aurait pu suffire</w:t>
      </w:r>
      <w:r w:rsidRPr="00A41F3A">
        <w:rPr>
          <w:rFonts w:ascii="Calibri" w:hAnsi="Calibri"/>
        </w:rPr>
        <w:t xml:space="preserve"> </w:t>
      </w:r>
      <w:r>
        <w:rPr>
          <w:rFonts w:ascii="Calibri" w:hAnsi="Calibri"/>
        </w:rPr>
        <w:t xml:space="preserve">pour </w:t>
      </w:r>
      <w:r w:rsidRPr="00A41F3A">
        <w:rPr>
          <w:rFonts w:ascii="Calibri" w:hAnsi="Calibri"/>
        </w:rPr>
        <w:t xml:space="preserve">faire connaître et respecter les droits des personnes handicapées. Mais c’est là où le constat est sans </w:t>
      </w:r>
      <w:r w:rsidRPr="00B73FFB">
        <w:rPr>
          <w:rFonts w:ascii="Calibri" w:hAnsi="Calibri"/>
        </w:rPr>
        <w:t>doute le plus accablant : les moyens consacrés par l’Etat à la promotion et au suivi de la Convention n’ont jamais été, loin s’en faut, à la hauteur des enjeux.</w:t>
      </w:r>
    </w:p>
    <w:p w:rsidR="00772AA5" w:rsidRDefault="00772AA5">
      <w:pPr>
        <w:spacing w:after="160"/>
      </w:pPr>
    </w:p>
    <w:p w:rsidR="001D3C5D" w:rsidRDefault="001D3C5D">
      <w:pPr>
        <w:spacing w:after="160"/>
        <w:rPr>
          <w:rFonts w:asciiTheme="majorHAnsi" w:eastAsiaTheme="majorEastAsia" w:hAnsiTheme="majorHAnsi" w:cstheme="majorBidi"/>
          <w:b/>
          <w:i/>
          <w:iCs/>
          <w:color w:val="2E74B5" w:themeColor="accent1" w:themeShade="BF"/>
        </w:rPr>
      </w:pPr>
      <w:r>
        <w:br w:type="page"/>
      </w:r>
    </w:p>
    <w:p w:rsidR="006B2F7B" w:rsidRDefault="006B2F7B" w:rsidP="00291ED1">
      <w:pPr>
        <w:pStyle w:val="Heading4"/>
        <w:spacing w:before="0" w:after="20"/>
        <w:ind w:firstLine="708"/>
        <w:jc w:val="both"/>
      </w:pPr>
      <w:r w:rsidRPr="00C31358">
        <w:lastRenderedPageBreak/>
        <w:t>Définition du handicap</w:t>
      </w:r>
      <w:r w:rsidRPr="00BC76ED">
        <w:t xml:space="preserve"> </w:t>
      </w:r>
    </w:p>
    <w:p w:rsidR="00772AA5" w:rsidRDefault="00772AA5" w:rsidP="005F361B">
      <w:pPr>
        <w:jc w:val="both"/>
      </w:pPr>
      <w:r>
        <w:fldChar w:fldCharType="begin"/>
      </w:r>
      <w:r>
        <w:instrText xml:space="preserve"> LINK </w:instrText>
      </w:r>
      <w:r w:rsidR="00E335CC">
        <w:instrText xml:space="preserve">Word.Document.12 "/Users/helenportal/Desktop/17122019 Rapport Alternatif.docx" OLE_LINK1 </w:instrText>
      </w:r>
      <w:r>
        <w:instrText xml:space="preserve">\a \h  \* MERGEFORMAT </w:instrText>
      </w:r>
      <w:r>
        <w:fldChar w:fldCharType="separate"/>
      </w:r>
    </w:p>
    <w:tbl>
      <w:tblPr>
        <w:tblStyle w:val="GridTable1Light-Accent1"/>
        <w:tblW w:w="0" w:type="auto"/>
        <w:jc w:val="center"/>
        <w:tblBorders>
          <w:bottom w:val="single" w:sz="12" w:space="0" w:color="9CC2E5" w:themeColor="accent1" w:themeTint="99"/>
          <w:insideH w:val="none" w:sz="0" w:space="0" w:color="auto"/>
          <w:insideV w:val="none" w:sz="0" w:space="0" w:color="auto"/>
        </w:tblBorders>
        <w:tblLook w:val="04A0" w:firstRow="1" w:lastRow="0" w:firstColumn="1" w:lastColumn="0" w:noHBand="0" w:noVBand="1"/>
      </w:tblPr>
      <w:tblGrid>
        <w:gridCol w:w="7601"/>
      </w:tblGrid>
      <w:tr w:rsidR="00772AA5" w:rsidTr="008F6536">
        <w:trPr>
          <w:cnfStyle w:val="100000000000" w:firstRow="1" w:lastRow="0" w:firstColumn="0" w:lastColumn="0" w:oddVBand="0" w:evenVBand="0" w:oddHBand="0" w:evenHBand="0" w:firstRowFirstColumn="0" w:firstRowLastColumn="0" w:lastRowFirstColumn="0" w:lastRowLastColumn="0"/>
          <w:trHeight w:val="1225"/>
          <w:jc w:val="center"/>
        </w:trPr>
        <w:tc>
          <w:tcPr>
            <w:cnfStyle w:val="001000000000" w:firstRow="0" w:lastRow="0" w:firstColumn="1" w:lastColumn="0" w:oddVBand="0" w:evenVBand="0" w:oddHBand="0" w:evenHBand="0" w:firstRowFirstColumn="0" w:firstRowLastColumn="0" w:lastRowFirstColumn="0" w:lastRowLastColumn="0"/>
            <w:tcW w:w="7601" w:type="dxa"/>
            <w:tcBorders>
              <w:bottom w:val="none" w:sz="0" w:space="0" w:color="auto"/>
            </w:tcBorders>
            <w:shd w:val="clear" w:color="auto" w:fill="F2F7FC"/>
          </w:tcPr>
          <w:p w:rsidR="00772AA5" w:rsidRPr="00AA219E" w:rsidRDefault="00772AA5" w:rsidP="00772AA5">
            <w:pPr>
              <w:jc w:val="both"/>
              <w:rPr>
                <w:bCs w:val="0"/>
                <w:color w:val="1F4E79" w:themeColor="accent1" w:themeShade="80"/>
                <w:sz w:val="20"/>
                <w:szCs w:val="20"/>
                <w:u w:val="single"/>
              </w:rPr>
            </w:pPr>
            <w:bookmarkStart w:id="8" w:name="OLE_LINK2"/>
            <w:r w:rsidRPr="00AA219E">
              <w:rPr>
                <w:b w:val="0"/>
                <w:color w:val="1F4E79" w:themeColor="accent1" w:themeShade="80"/>
                <w:sz w:val="20"/>
                <w:szCs w:val="20"/>
                <w:u w:val="single"/>
              </w:rPr>
              <w:t xml:space="preserve">Définition </w:t>
            </w:r>
            <w:r w:rsidRPr="005444D3">
              <w:rPr>
                <w:b w:val="0"/>
                <w:color w:val="1F4E79" w:themeColor="accent1" w:themeShade="80"/>
                <w:sz w:val="20"/>
                <w:szCs w:val="20"/>
                <w:u w:val="single"/>
              </w:rPr>
              <w:t xml:space="preserve">de </w:t>
            </w:r>
            <w:r w:rsidR="008234AB" w:rsidRPr="005444D3">
              <w:rPr>
                <w:b w:val="0"/>
                <w:color w:val="1F4E79" w:themeColor="accent1" w:themeShade="80"/>
                <w:sz w:val="20"/>
                <w:szCs w:val="20"/>
                <w:u w:val="single"/>
              </w:rPr>
              <w:t>"</w:t>
            </w:r>
            <w:r w:rsidRPr="005444D3">
              <w:rPr>
                <w:color w:val="1F4E79" w:themeColor="accent1" w:themeShade="80"/>
                <w:sz w:val="20"/>
                <w:szCs w:val="20"/>
                <w:u w:val="single"/>
              </w:rPr>
              <w:t>personnes handicapées</w:t>
            </w:r>
            <w:r w:rsidR="008234AB" w:rsidRPr="005444D3">
              <w:rPr>
                <w:color w:val="1F4E79" w:themeColor="accent1" w:themeShade="80"/>
                <w:sz w:val="20"/>
                <w:szCs w:val="20"/>
                <w:u w:val="single"/>
              </w:rPr>
              <w:t>"</w:t>
            </w:r>
            <w:r w:rsidRPr="00AA219E">
              <w:rPr>
                <w:color w:val="1F4E79" w:themeColor="accent1" w:themeShade="80"/>
                <w:sz w:val="20"/>
                <w:szCs w:val="20"/>
                <w:u w:val="single"/>
              </w:rPr>
              <w:t xml:space="preserve"> </w:t>
            </w:r>
            <w:r w:rsidR="006D296F">
              <w:rPr>
                <w:b w:val="0"/>
                <w:color w:val="1F4E79" w:themeColor="accent1" w:themeShade="80"/>
                <w:sz w:val="20"/>
                <w:szCs w:val="20"/>
                <w:u w:val="single"/>
              </w:rPr>
              <w:t>dans</w:t>
            </w:r>
            <w:r w:rsidRPr="00AA219E">
              <w:rPr>
                <w:b w:val="0"/>
                <w:color w:val="1F4E79" w:themeColor="accent1" w:themeShade="80"/>
                <w:sz w:val="20"/>
                <w:szCs w:val="20"/>
                <w:u w:val="single"/>
              </w:rPr>
              <w:t xml:space="preserve"> la Convention : </w:t>
            </w:r>
          </w:p>
          <w:p w:rsidR="00772AA5" w:rsidRPr="00772AA5" w:rsidRDefault="00772AA5" w:rsidP="00772AA5">
            <w:pPr>
              <w:jc w:val="both"/>
              <w:rPr>
                <w:b w:val="0"/>
                <w:i/>
                <w:sz w:val="20"/>
                <w:szCs w:val="20"/>
              </w:rPr>
            </w:pPr>
            <w:r>
              <w:rPr>
                <w:b w:val="0"/>
                <w:i/>
                <w:sz w:val="20"/>
                <w:szCs w:val="20"/>
              </w:rPr>
              <w:t>"D</w:t>
            </w:r>
            <w:r w:rsidRPr="00772AA5">
              <w:rPr>
                <w:b w:val="0"/>
                <w:i/>
                <w:sz w:val="20"/>
                <w:szCs w:val="20"/>
              </w:rPr>
              <w:t>es personnes qui présentent des incapacités physiques, mentales, intellectuelles ou sensorielles durables dont l'interaction avec diverses barrières peut faire obstacle à leur pleine et effective participation à la société sur la base de l'égalité avec les autres.</w:t>
            </w:r>
            <w:r>
              <w:rPr>
                <w:b w:val="0"/>
                <w:i/>
                <w:sz w:val="20"/>
                <w:szCs w:val="20"/>
              </w:rPr>
              <w:t>"</w:t>
            </w:r>
          </w:p>
        </w:tc>
      </w:tr>
      <w:bookmarkEnd w:id="8"/>
    </w:tbl>
    <w:p w:rsidR="005F361B" w:rsidRPr="00AA219E" w:rsidRDefault="00772AA5" w:rsidP="00772AA5">
      <w:pPr>
        <w:jc w:val="both"/>
        <w:rPr>
          <w:sz w:val="15"/>
          <w:szCs w:val="15"/>
        </w:rPr>
      </w:pPr>
      <w:r>
        <w:fldChar w:fldCharType="end"/>
      </w:r>
    </w:p>
    <w:p w:rsidR="006B2F7B" w:rsidRPr="005F361B" w:rsidRDefault="006B2F7B" w:rsidP="005F361B">
      <w:pPr>
        <w:autoSpaceDE w:val="0"/>
        <w:autoSpaceDN w:val="0"/>
        <w:adjustRightInd w:val="0"/>
        <w:spacing w:after="20"/>
        <w:jc w:val="both"/>
        <w:rPr>
          <w:rFonts w:ascii="Calibri" w:hAnsi="Calibri" w:cs="Calibri"/>
          <w:color w:val="000000"/>
        </w:rPr>
      </w:pPr>
      <w:r>
        <w:rPr>
          <w:rFonts w:ascii="Calibri" w:hAnsi="Calibri" w:cs="Calibri"/>
          <w:color w:val="000000"/>
        </w:rPr>
        <w:t>Selon la Convention, le handicap est</w:t>
      </w:r>
      <w:r w:rsidRPr="0034526D">
        <w:rPr>
          <w:rFonts w:ascii="Calibri" w:hAnsi="Calibri" w:cs="Calibri"/>
          <w:color w:val="000000"/>
        </w:rPr>
        <w:t xml:space="preserve"> la conséquence d’une </w:t>
      </w:r>
      <w:r w:rsidRPr="00772AA5">
        <w:rPr>
          <w:rFonts w:ascii="Calibri" w:hAnsi="Calibri" w:cs="Calibri"/>
          <w:b/>
          <w:color w:val="000000"/>
        </w:rPr>
        <w:t>interaction</w:t>
      </w:r>
      <w:r w:rsidRPr="0034526D">
        <w:rPr>
          <w:rFonts w:ascii="Calibri" w:hAnsi="Calibri" w:cs="Calibri"/>
          <w:color w:val="000000"/>
        </w:rPr>
        <w:t xml:space="preserve"> entre la personne et les obstacles dressés par son</w:t>
      </w:r>
      <w:r>
        <w:rPr>
          <w:rFonts w:ascii="Calibri" w:hAnsi="Calibri" w:cs="Calibri"/>
          <w:color w:val="000000"/>
        </w:rPr>
        <w:t xml:space="preserve"> environnement</w:t>
      </w:r>
      <w:r w:rsidRPr="0034526D">
        <w:rPr>
          <w:rFonts w:ascii="Calibri" w:hAnsi="Calibri" w:cs="Calibri"/>
          <w:color w:val="000000"/>
        </w:rPr>
        <w:t xml:space="preserve">. </w:t>
      </w:r>
      <w:r>
        <w:rPr>
          <w:rFonts w:ascii="Calibri" w:hAnsi="Calibri" w:cs="Calibri"/>
          <w:color w:val="000000"/>
        </w:rPr>
        <w:t xml:space="preserve">Ainsi le </w:t>
      </w:r>
      <w:r w:rsidRPr="00772AA5">
        <w:rPr>
          <w:rFonts w:ascii="Calibri" w:hAnsi="Calibri" w:cs="Calibri"/>
          <w:b/>
          <w:color w:val="000000"/>
        </w:rPr>
        <w:t>regard social</w:t>
      </w:r>
      <w:r w:rsidRPr="0034526D">
        <w:rPr>
          <w:rFonts w:ascii="Calibri" w:hAnsi="Calibri" w:cs="Calibri"/>
          <w:color w:val="000000"/>
        </w:rPr>
        <w:t xml:space="preserve"> </w:t>
      </w:r>
      <w:r>
        <w:rPr>
          <w:rFonts w:ascii="Calibri" w:hAnsi="Calibri" w:cs="Calibri"/>
          <w:color w:val="000000"/>
        </w:rPr>
        <w:t xml:space="preserve">prime sur le regard </w:t>
      </w:r>
      <w:r w:rsidRPr="0034526D">
        <w:rPr>
          <w:rFonts w:ascii="Calibri" w:hAnsi="Calibri" w:cs="Calibri"/>
          <w:color w:val="000000"/>
        </w:rPr>
        <w:t>médical</w:t>
      </w:r>
      <w:r>
        <w:rPr>
          <w:rFonts w:ascii="Calibri" w:hAnsi="Calibri" w:cs="Calibri"/>
          <w:color w:val="000000"/>
        </w:rPr>
        <w:t>, l</w:t>
      </w:r>
      <w:r w:rsidRPr="0034526D">
        <w:rPr>
          <w:rFonts w:ascii="Calibri" w:hAnsi="Calibri" w:cs="Calibri"/>
          <w:color w:val="000000"/>
        </w:rPr>
        <w:t>a perso</w:t>
      </w:r>
      <w:r>
        <w:rPr>
          <w:rFonts w:ascii="Calibri" w:hAnsi="Calibri" w:cs="Calibri"/>
          <w:color w:val="000000"/>
        </w:rPr>
        <w:t xml:space="preserve">nne </w:t>
      </w:r>
      <w:r w:rsidRPr="00A41F3A">
        <w:rPr>
          <w:rFonts w:cstheme="minorHAnsi"/>
        </w:rPr>
        <w:t>en situation de handicap</w:t>
      </w:r>
      <w:r>
        <w:rPr>
          <w:rFonts w:ascii="Calibri" w:hAnsi="Calibri" w:cs="Calibri"/>
          <w:color w:val="000000"/>
        </w:rPr>
        <w:t xml:space="preserve"> étant pleinement un sujet de droit. </w:t>
      </w:r>
      <w:r>
        <w:t xml:space="preserve">Dans cet esprit, c’est un </w:t>
      </w:r>
      <w:r w:rsidRPr="0093499C">
        <w:rPr>
          <w:b/>
        </w:rPr>
        <w:t>environnement accessible</w:t>
      </w:r>
      <w:r>
        <w:t xml:space="preserve"> qui permet de garantir l’accès aux droits fondamentaux</w:t>
      </w:r>
      <w:r w:rsidR="005F361B">
        <w:t>.</w:t>
      </w:r>
    </w:p>
    <w:p w:rsidR="00772AA5" w:rsidRDefault="00772AA5" w:rsidP="006B2F7B">
      <w:pPr>
        <w:spacing w:after="20"/>
        <w:jc w:val="both"/>
      </w:pPr>
      <w:r>
        <w:rPr>
          <w:rFonts w:ascii="Calibri" w:hAnsi="Calibri" w:cs="Calibri"/>
          <w:b/>
          <w:color w:val="000000"/>
        </w:rPr>
        <w:fldChar w:fldCharType="begin"/>
      </w:r>
      <w:r>
        <w:rPr>
          <w:rFonts w:ascii="Calibri" w:hAnsi="Calibri" w:cs="Calibri"/>
          <w:b/>
          <w:color w:val="000000"/>
        </w:rPr>
        <w:instrText xml:space="preserve"> LINK </w:instrText>
      </w:r>
      <w:r w:rsidR="00E335CC">
        <w:rPr>
          <w:rFonts w:ascii="Calibri" w:hAnsi="Calibri" w:cs="Calibri"/>
          <w:b/>
          <w:color w:val="000000"/>
        </w:rPr>
        <w:instrText xml:space="preserve">Word.Document.12 "/Users/helenportal/Desktop/17122019 Rapport Alternatif.docx" OLE_LINK2 </w:instrText>
      </w:r>
      <w:r>
        <w:rPr>
          <w:rFonts w:ascii="Calibri" w:hAnsi="Calibri" w:cs="Calibri"/>
          <w:b/>
          <w:color w:val="000000"/>
        </w:rPr>
        <w:instrText xml:space="preserve">\a \h  \* MERGEFORMAT </w:instrText>
      </w:r>
      <w:r>
        <w:rPr>
          <w:rFonts w:ascii="Calibri" w:hAnsi="Calibri" w:cs="Calibri"/>
          <w:b/>
          <w:color w:val="000000"/>
        </w:rPr>
        <w:fldChar w:fldCharType="separate"/>
      </w:r>
    </w:p>
    <w:tbl>
      <w:tblPr>
        <w:tblStyle w:val="GridTable1Light-Accent1"/>
        <w:tblW w:w="0" w:type="auto"/>
        <w:jc w:val="center"/>
        <w:tblBorders>
          <w:bottom w:val="single" w:sz="12" w:space="0" w:color="9CC2E5" w:themeColor="accent1" w:themeTint="99"/>
          <w:insideH w:val="none" w:sz="0" w:space="0" w:color="auto"/>
          <w:insideV w:val="none" w:sz="0" w:space="0" w:color="auto"/>
        </w:tblBorders>
        <w:tblLook w:val="04A0" w:firstRow="1" w:lastRow="0" w:firstColumn="1" w:lastColumn="0" w:noHBand="0" w:noVBand="1"/>
      </w:tblPr>
      <w:tblGrid>
        <w:gridCol w:w="7587"/>
      </w:tblGrid>
      <w:tr w:rsidR="00772AA5" w:rsidTr="008F6536">
        <w:trPr>
          <w:cnfStyle w:val="100000000000" w:firstRow="1" w:lastRow="0" w:firstColumn="0" w:lastColumn="0" w:oddVBand="0" w:evenVBand="0" w:oddHBand="0" w:evenHBand="0" w:firstRowFirstColumn="0" w:firstRowLastColumn="0" w:lastRowFirstColumn="0" w:lastRowLastColumn="0"/>
          <w:trHeight w:val="941"/>
          <w:jc w:val="center"/>
        </w:trPr>
        <w:tc>
          <w:tcPr>
            <w:cnfStyle w:val="001000000000" w:firstRow="0" w:lastRow="0" w:firstColumn="1" w:lastColumn="0" w:oddVBand="0" w:evenVBand="0" w:oddHBand="0" w:evenHBand="0" w:firstRowFirstColumn="0" w:firstRowLastColumn="0" w:lastRowFirstColumn="0" w:lastRowLastColumn="0"/>
            <w:tcW w:w="7587"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2F7FC"/>
            <w:hideMark/>
          </w:tcPr>
          <w:p w:rsidR="00772AA5" w:rsidRPr="00AA219E" w:rsidRDefault="00772AA5">
            <w:pPr>
              <w:jc w:val="both"/>
              <w:rPr>
                <w:bCs w:val="0"/>
                <w:color w:val="1F4E79" w:themeColor="accent1" w:themeShade="80"/>
                <w:sz w:val="20"/>
                <w:szCs w:val="20"/>
                <w:u w:val="single"/>
              </w:rPr>
            </w:pPr>
            <w:r w:rsidRPr="00AA219E">
              <w:rPr>
                <w:b w:val="0"/>
                <w:color w:val="1F4E79" w:themeColor="accent1" w:themeShade="80"/>
                <w:sz w:val="20"/>
                <w:szCs w:val="20"/>
                <w:u w:val="single"/>
              </w:rPr>
              <w:t xml:space="preserve">Définition de </w:t>
            </w:r>
            <w:r w:rsidRPr="00AA219E">
              <w:rPr>
                <w:color w:val="1F4E79" w:themeColor="accent1" w:themeShade="80"/>
                <w:sz w:val="20"/>
                <w:szCs w:val="20"/>
                <w:u w:val="single"/>
              </w:rPr>
              <w:t>handicap</w:t>
            </w:r>
            <w:r w:rsidRPr="00AA219E">
              <w:rPr>
                <w:b w:val="0"/>
                <w:color w:val="1F4E79" w:themeColor="accent1" w:themeShade="80"/>
                <w:sz w:val="20"/>
                <w:szCs w:val="20"/>
                <w:u w:val="single"/>
              </w:rPr>
              <w:t xml:space="preserve"> dans la loi française</w:t>
            </w:r>
            <w:r w:rsidRPr="00AA219E">
              <w:rPr>
                <w:rStyle w:val="EndnoteReference"/>
                <w:b w:val="0"/>
                <w:bCs w:val="0"/>
                <w:color w:val="1F4E79" w:themeColor="accent1" w:themeShade="80"/>
                <w:sz w:val="20"/>
                <w:szCs w:val="20"/>
                <w:u w:val="single"/>
              </w:rPr>
              <w:endnoteReference w:id="5"/>
            </w:r>
            <w:r w:rsidRPr="00AA219E">
              <w:rPr>
                <w:b w:val="0"/>
                <w:color w:val="1F4E79" w:themeColor="accent1" w:themeShade="80"/>
                <w:sz w:val="20"/>
                <w:szCs w:val="20"/>
                <w:u w:val="single"/>
              </w:rPr>
              <w:t xml:space="preserve"> :</w:t>
            </w:r>
          </w:p>
          <w:p w:rsidR="00772AA5" w:rsidRDefault="00772AA5">
            <w:pPr>
              <w:jc w:val="both"/>
              <w:rPr>
                <w:b w:val="0"/>
                <w:i/>
                <w:sz w:val="20"/>
                <w:szCs w:val="20"/>
              </w:rPr>
            </w:pPr>
            <w:r>
              <w:rPr>
                <w:b w:val="0"/>
                <w:i/>
                <w:sz w:val="20"/>
                <w:szCs w:val="20"/>
              </w:rPr>
              <w:t>"T</w:t>
            </w:r>
            <w:r w:rsidRPr="00772AA5">
              <w:rPr>
                <w:b w:val="0"/>
                <w:i/>
                <w:sz w:val="20"/>
                <w:szCs w:val="20"/>
              </w:rPr>
              <w:t>oute limitation d’activité ou restriction de participation à la vie en société subie dans son environnement par une personne en raison d’une altération substantielle, durable ou définitive d’une ou plusieurs fonctions physiques, sensorielles, mentales, cognitives ou psychiques, d’un polyhandicap ou d’un trouble de santé invalidant</w:t>
            </w:r>
            <w:r>
              <w:rPr>
                <w:b w:val="0"/>
                <w:i/>
                <w:sz w:val="20"/>
                <w:szCs w:val="20"/>
              </w:rPr>
              <w:t>."</w:t>
            </w:r>
          </w:p>
        </w:tc>
      </w:tr>
    </w:tbl>
    <w:p w:rsidR="005F361B" w:rsidRPr="00AA219E" w:rsidRDefault="00772AA5" w:rsidP="006B2F7B">
      <w:pPr>
        <w:spacing w:after="20"/>
        <w:jc w:val="both"/>
        <w:rPr>
          <w:rFonts w:ascii="Calibri" w:hAnsi="Calibri" w:cs="Calibri"/>
          <w:b/>
          <w:color w:val="000000"/>
          <w:sz w:val="15"/>
          <w:szCs w:val="15"/>
        </w:rPr>
      </w:pPr>
      <w:r>
        <w:rPr>
          <w:rFonts w:ascii="Calibri" w:hAnsi="Calibri" w:cs="Calibri"/>
          <w:b/>
          <w:color w:val="000000"/>
        </w:rPr>
        <w:fldChar w:fldCharType="end"/>
      </w:r>
    </w:p>
    <w:p w:rsidR="005F361B" w:rsidRDefault="005F361B" w:rsidP="005F361B">
      <w:r>
        <w:rPr>
          <w:rFonts w:ascii="Calibri" w:hAnsi="Calibri" w:cs="Calibri"/>
          <w:b/>
          <w:color w:val="000000"/>
        </w:rPr>
        <w:t>Or, l</w:t>
      </w:r>
      <w:r w:rsidR="006B2F7B" w:rsidRPr="00BD43D5">
        <w:rPr>
          <w:rFonts w:ascii="Calibri" w:hAnsi="Calibri" w:cs="Calibri"/>
          <w:b/>
          <w:color w:val="000000"/>
        </w:rPr>
        <w:t>a définition</w:t>
      </w:r>
      <w:r w:rsidR="006B2F7B">
        <w:rPr>
          <w:rFonts w:ascii="Calibri" w:hAnsi="Calibri" w:cs="Calibri"/>
          <w:b/>
          <w:color w:val="000000"/>
        </w:rPr>
        <w:t xml:space="preserve"> </w:t>
      </w:r>
      <w:r w:rsidR="006B2F7B" w:rsidRPr="00BD43D5">
        <w:rPr>
          <w:rFonts w:ascii="Calibri" w:hAnsi="Calibri" w:cs="Calibri"/>
          <w:b/>
          <w:color w:val="000000"/>
        </w:rPr>
        <w:t xml:space="preserve">du handicap </w:t>
      </w:r>
      <w:r w:rsidR="006B2F7B">
        <w:rPr>
          <w:rFonts w:ascii="Calibri" w:hAnsi="Calibri" w:cs="Calibri"/>
          <w:b/>
          <w:color w:val="000000"/>
        </w:rPr>
        <w:t>posée par la loi du 11 février 2005</w:t>
      </w:r>
      <w:r w:rsidR="006B2F7B">
        <w:rPr>
          <w:rStyle w:val="EndnoteReference"/>
          <w:bCs/>
        </w:rPr>
        <w:endnoteReference w:id="6"/>
      </w:r>
      <w:r>
        <w:t> </w:t>
      </w:r>
      <w:bookmarkStart w:id="9" w:name="_Toc501722926"/>
      <w:bookmarkStart w:id="10" w:name="_Toc501709911"/>
      <w:r>
        <w:t xml:space="preserve">: </w:t>
      </w:r>
    </w:p>
    <w:p w:rsidR="005F361B" w:rsidRPr="005F361B" w:rsidRDefault="005F361B" w:rsidP="005F361B">
      <w:pPr>
        <w:pStyle w:val="ListParagraph"/>
        <w:numPr>
          <w:ilvl w:val="0"/>
          <w:numId w:val="18"/>
        </w:numPr>
        <w:jc w:val="both"/>
        <w:rPr>
          <w:rFonts w:ascii="Times New Roman" w:eastAsia="Times New Roman" w:hAnsi="Times New Roman" w:cs="Times New Roman"/>
          <w:sz w:val="24"/>
          <w:szCs w:val="24"/>
          <w:lang w:eastAsia="fr-FR"/>
        </w:rPr>
      </w:pPr>
      <w:r w:rsidRPr="00AA219E">
        <w:rPr>
          <w:rFonts w:ascii="Calibri" w:hAnsi="Calibri" w:cs="Calibri"/>
          <w:color w:val="000000"/>
        </w:rPr>
        <w:t>Ignore</w:t>
      </w:r>
      <w:r w:rsidR="00E14192" w:rsidRPr="004C2DBC">
        <w:t xml:space="preserve"> </w:t>
      </w:r>
      <w:r w:rsidR="007D36AD">
        <w:t xml:space="preserve">la </w:t>
      </w:r>
      <w:r w:rsidR="00E14192" w:rsidRPr="004C2DBC">
        <w:t>notion d’interaction avec l’environnement dans la production des situations de handicap</w:t>
      </w:r>
      <w:bookmarkEnd w:id="9"/>
      <w:bookmarkEnd w:id="10"/>
      <w:r w:rsidR="00772AA5">
        <w:t> ;</w:t>
      </w:r>
    </w:p>
    <w:p w:rsidR="005F361B" w:rsidRPr="005F361B" w:rsidRDefault="005F361B" w:rsidP="005F361B">
      <w:pPr>
        <w:pStyle w:val="ListParagraph"/>
        <w:numPr>
          <w:ilvl w:val="0"/>
          <w:numId w:val="18"/>
        </w:numPr>
        <w:jc w:val="both"/>
        <w:rPr>
          <w:rFonts w:ascii="Times New Roman" w:eastAsia="Times New Roman" w:hAnsi="Times New Roman" w:cs="Times New Roman"/>
          <w:sz w:val="24"/>
          <w:szCs w:val="24"/>
          <w:lang w:eastAsia="fr-FR"/>
        </w:rPr>
      </w:pPr>
      <w:r>
        <w:t xml:space="preserve">Impute aux seules déficiences et incapacités de la personne la cause de ses limitations d’activité et restrictions de participation - </w:t>
      </w:r>
      <w:r w:rsidRPr="005F361B">
        <w:rPr>
          <w:i/>
        </w:rPr>
        <w:t>« </w:t>
      </w:r>
      <w:r w:rsidRPr="005F361B">
        <w:rPr>
          <w:b/>
          <w:i/>
        </w:rPr>
        <w:t>en raison</w:t>
      </w:r>
      <w:r w:rsidRPr="005F361B">
        <w:rPr>
          <w:i/>
        </w:rPr>
        <w:t xml:space="preserve"> d’une altération […] d’une ou plusieurs fonctions […]</w:t>
      </w:r>
      <w:r>
        <w:rPr>
          <w:i/>
        </w:rPr>
        <w:t xml:space="preserve"> </w:t>
      </w:r>
      <w:r>
        <w:t>»</w:t>
      </w:r>
      <w:r w:rsidR="00772AA5">
        <w:t> ;</w:t>
      </w:r>
    </w:p>
    <w:p w:rsidR="00E14192" w:rsidRPr="005F361B" w:rsidRDefault="008234AB" w:rsidP="005F361B">
      <w:pPr>
        <w:pStyle w:val="ListParagraph"/>
        <w:numPr>
          <w:ilvl w:val="0"/>
          <w:numId w:val="18"/>
        </w:numPr>
        <w:jc w:val="both"/>
        <w:rPr>
          <w:rFonts w:ascii="Times New Roman" w:eastAsia="Times New Roman" w:hAnsi="Times New Roman" w:cs="Times New Roman"/>
          <w:sz w:val="24"/>
          <w:szCs w:val="24"/>
          <w:lang w:eastAsia="fr-FR"/>
        </w:rPr>
      </w:pPr>
      <w:r>
        <w:t>Fai</w:t>
      </w:r>
      <w:r w:rsidR="005F361B">
        <w:t xml:space="preserve">t ainsi abstraction de la </w:t>
      </w:r>
      <w:r w:rsidR="00472FD7">
        <w:t>composante</w:t>
      </w:r>
      <w:r w:rsidR="005F361B">
        <w:t xml:space="preserve"> environnementale dans la production de situations de handicap - </w:t>
      </w:r>
      <w:r w:rsidR="005F361B" w:rsidRPr="005F361B">
        <w:rPr>
          <w:i/>
        </w:rPr>
        <w:t>« </w:t>
      </w:r>
      <w:r w:rsidR="005F361B" w:rsidRPr="005F361B">
        <w:rPr>
          <w:b/>
          <w:i/>
        </w:rPr>
        <w:t>subie dans son environnement</w:t>
      </w:r>
      <w:r w:rsidR="005F361B" w:rsidRPr="005F361B">
        <w:rPr>
          <w:i/>
        </w:rPr>
        <w:t> ».</w:t>
      </w:r>
    </w:p>
    <w:p w:rsidR="005F361B" w:rsidRPr="00AA219E" w:rsidRDefault="005F361B" w:rsidP="005F361B">
      <w:pPr>
        <w:jc w:val="both"/>
        <w:rPr>
          <w:sz w:val="15"/>
          <w:szCs w:val="15"/>
        </w:rPr>
      </w:pPr>
    </w:p>
    <w:p w:rsidR="005F361B" w:rsidRDefault="005F361B" w:rsidP="005F361B">
      <w:pPr>
        <w:jc w:val="both"/>
      </w:pPr>
      <w:r>
        <w:t xml:space="preserve">Ainsi, en dépit de sa référence aux droits et à la citoyenneté dans son titre, la loi de 2005 vise d’abord </w:t>
      </w:r>
      <w:r w:rsidR="0089117A">
        <w:t>la refonte de</w:t>
      </w:r>
      <w:r>
        <w:t xml:space="preserve"> la politique française de solidarité (protection sociale) à l’égard des personnes handicapées, sans y inclure les mesures d’accessibilité de l’environnement voulues par la Convention, qui conditionnent </w:t>
      </w:r>
      <w:r w:rsidR="00DF4DB6">
        <w:t xml:space="preserve">pourtant </w:t>
      </w:r>
      <w:r>
        <w:t xml:space="preserve">l’accès aux droits. Les mesures de protection sociale et de compensation sont insuffisantes </w:t>
      </w:r>
      <w:r w:rsidR="002540EF">
        <w:t>pour</w:t>
      </w:r>
      <w:r>
        <w:t xml:space="preserve"> garantir à elles seules l’accès aux droits.</w:t>
      </w:r>
    </w:p>
    <w:p w:rsidR="005F361B" w:rsidRPr="00AA219E" w:rsidRDefault="005F361B" w:rsidP="005F361B">
      <w:pPr>
        <w:jc w:val="both"/>
        <w:rPr>
          <w:rFonts w:ascii="Times New Roman" w:eastAsia="Times New Roman" w:hAnsi="Times New Roman" w:cs="Times New Roman"/>
          <w:sz w:val="15"/>
          <w:szCs w:val="15"/>
          <w:lang w:eastAsia="fr-FR"/>
        </w:rPr>
      </w:pPr>
    </w:p>
    <w:p w:rsidR="005F361B" w:rsidRDefault="005F361B" w:rsidP="005F361B">
      <w:pPr>
        <w:jc w:val="both"/>
      </w:pPr>
      <w:r>
        <w:t>De plus, la France conforte l’utilisation de l’outil réglementaire d’évaluation du handicap déterminant l’éligibilité aux prestations sociales sur la base du taux d’incapacité (Guide Barème)</w:t>
      </w:r>
      <w:r>
        <w:rPr>
          <w:rStyle w:val="EndnoteReference"/>
        </w:rPr>
        <w:endnoteReference w:id="7"/>
      </w:r>
      <w:r>
        <w:t xml:space="preserve">, sans prise en compte des besoins </w:t>
      </w:r>
      <w:r w:rsidR="0089117A">
        <w:t>propres à la</w:t>
      </w:r>
      <w:r>
        <w:t xml:space="preserve"> personne en fonction de l’environnement, excluant certains handicaps comme les troubles neuro-développementaux ou psychiques.</w:t>
      </w:r>
    </w:p>
    <w:p w:rsidR="00E14192" w:rsidRPr="00AA219E" w:rsidRDefault="00E14192" w:rsidP="00F85197">
      <w:pPr>
        <w:spacing w:after="20"/>
        <w:jc w:val="both"/>
        <w:rPr>
          <w:b/>
          <w:sz w:val="15"/>
          <w:szCs w:val="15"/>
        </w:rPr>
      </w:pPr>
    </w:p>
    <w:p w:rsidR="004F19ED" w:rsidRDefault="005F361B" w:rsidP="00772AA5">
      <w:pPr>
        <w:jc w:val="both"/>
        <w:rPr>
          <w:b/>
        </w:rPr>
      </w:pPr>
      <w:r w:rsidRPr="00DA4DC0">
        <w:rPr>
          <w:b/>
        </w:rPr>
        <w:t>La définition française du handicap</w:t>
      </w:r>
      <w:r>
        <w:rPr>
          <w:b/>
        </w:rPr>
        <w:t>,</w:t>
      </w:r>
      <w:r w:rsidRPr="00DA4DC0">
        <w:rPr>
          <w:b/>
        </w:rPr>
        <w:t xml:space="preserve"> </w:t>
      </w:r>
      <w:r w:rsidRPr="006835FE">
        <w:rPr>
          <w:b/>
        </w:rPr>
        <w:t xml:space="preserve">centrée sur la personne, ses déficiences et incapacités, </w:t>
      </w:r>
      <w:r>
        <w:rPr>
          <w:b/>
        </w:rPr>
        <w:t>ignorant</w:t>
      </w:r>
      <w:r w:rsidRPr="006835FE">
        <w:rPr>
          <w:b/>
        </w:rPr>
        <w:t xml:space="preserve"> la notion d’interaction et le rôle de l’environnement dans la production des situations de handicap</w:t>
      </w:r>
      <w:r>
        <w:rPr>
          <w:rFonts w:eastAsia="Times New Roman" w:cstheme="minorHAnsi"/>
          <w:bCs/>
        </w:rPr>
        <w:t xml:space="preserve">, </w:t>
      </w:r>
      <w:r w:rsidRPr="00DA4DC0">
        <w:rPr>
          <w:b/>
        </w:rPr>
        <w:t xml:space="preserve">est incompatible avec l’esprit de la Convention. </w:t>
      </w:r>
    </w:p>
    <w:p w:rsidR="00AA219E" w:rsidRPr="00AA219E" w:rsidRDefault="00AA219E" w:rsidP="00772AA5">
      <w:pPr>
        <w:jc w:val="both"/>
        <w:rPr>
          <w:b/>
          <w:sz w:val="15"/>
          <w:szCs w:val="15"/>
        </w:rPr>
      </w:pPr>
    </w:p>
    <w:tbl>
      <w:tblPr>
        <w:tblStyle w:val="GridTable1Light-Accent1"/>
        <w:tblW w:w="0" w:type="auto"/>
        <w:tblLook w:val="04A0" w:firstRow="1" w:lastRow="0" w:firstColumn="1" w:lastColumn="0" w:noHBand="0" w:noVBand="1"/>
      </w:tblPr>
      <w:tblGrid>
        <w:gridCol w:w="9001"/>
      </w:tblGrid>
      <w:tr w:rsidR="00D0337F" w:rsidTr="00A04F08">
        <w:trPr>
          <w:cnfStyle w:val="100000000000" w:firstRow="1" w:lastRow="0" w:firstColumn="0" w:lastColumn="0" w:oddVBand="0" w:evenVBand="0" w:oddHBand="0" w:evenHBand="0" w:firstRowFirstColumn="0" w:firstRowLastColumn="0" w:lastRowFirstColumn="0" w:lastRowLastColumn="0"/>
          <w:trHeight w:val="2120"/>
        </w:trPr>
        <w:tc>
          <w:tcPr>
            <w:cnfStyle w:val="001000000000" w:firstRow="0" w:lastRow="0" w:firstColumn="1" w:lastColumn="0" w:oddVBand="0" w:evenVBand="0" w:oddHBand="0" w:evenHBand="0" w:firstRowFirstColumn="0" w:firstRowLastColumn="0" w:lastRowFirstColumn="0" w:lastRowLastColumn="0"/>
            <w:tcW w:w="9001" w:type="dxa"/>
            <w:shd w:val="clear" w:color="auto" w:fill="F2F7FC"/>
          </w:tcPr>
          <w:p w:rsidR="0083629A" w:rsidRDefault="00D0337F" w:rsidP="00F85197">
            <w:pPr>
              <w:pStyle w:val="Heading7"/>
              <w:spacing w:before="0" w:after="20" w:line="259" w:lineRule="auto"/>
              <w:outlineLvl w:val="6"/>
              <w:rPr>
                <w:rStyle w:val="Emphasis"/>
                <w:b w:val="0"/>
                <w:i/>
              </w:rPr>
            </w:pPr>
            <w:bookmarkStart w:id="11" w:name="_Toc20128108"/>
            <w:bookmarkStart w:id="12" w:name="OLE_LINK1"/>
            <w:r w:rsidRPr="00F2623F">
              <w:rPr>
                <w:rStyle w:val="Emphasis"/>
                <w:i/>
                <w:iCs/>
              </w:rPr>
              <w:t>Recommandations</w:t>
            </w:r>
            <w:bookmarkEnd w:id="11"/>
            <w:r w:rsidRPr="00723BD1">
              <w:rPr>
                <w:rStyle w:val="Emphasis"/>
                <w:b w:val="0"/>
                <w:i/>
              </w:rPr>
              <w:t> </w:t>
            </w:r>
          </w:p>
          <w:p w:rsidR="00B1229B" w:rsidRPr="00772AA5" w:rsidRDefault="00B1229B" w:rsidP="00B1229B">
            <w:pPr>
              <w:rPr>
                <w:sz w:val="16"/>
                <w:szCs w:val="16"/>
                <w:lang w:eastAsia="en-GB"/>
              </w:rPr>
            </w:pPr>
          </w:p>
          <w:p w:rsidR="00DE7813" w:rsidRPr="00DE7813" w:rsidRDefault="00BD43D5" w:rsidP="00027EF9">
            <w:pPr>
              <w:pStyle w:val="ListParagraph"/>
              <w:widowControl w:val="0"/>
              <w:numPr>
                <w:ilvl w:val="0"/>
                <w:numId w:val="5"/>
              </w:numPr>
              <w:autoSpaceDE w:val="0"/>
              <w:autoSpaceDN w:val="0"/>
              <w:spacing w:after="20" w:line="259" w:lineRule="auto"/>
              <w:ind w:right="113"/>
              <w:contextualSpacing w:val="0"/>
              <w:jc w:val="both"/>
            </w:pPr>
            <w:r>
              <w:t>Mise en conformité de l</w:t>
            </w:r>
            <w:r w:rsidR="001A016D" w:rsidRPr="00591F1A">
              <w:t xml:space="preserve">a définition légale du handicap </w:t>
            </w:r>
            <w:r w:rsidR="0089117A">
              <w:t>selon les termes de</w:t>
            </w:r>
            <w:r w:rsidR="00F52BFD">
              <w:t xml:space="preserve"> </w:t>
            </w:r>
            <w:r w:rsidR="00A370FC">
              <w:t>la Convention</w:t>
            </w:r>
            <w:r w:rsidR="00DE7813">
              <w:t>.</w:t>
            </w:r>
          </w:p>
          <w:p w:rsidR="004A6E68" w:rsidRPr="00772AA5" w:rsidRDefault="001A016D" w:rsidP="00F85197">
            <w:pPr>
              <w:pStyle w:val="ListParagraph"/>
              <w:widowControl w:val="0"/>
              <w:numPr>
                <w:ilvl w:val="0"/>
                <w:numId w:val="5"/>
              </w:numPr>
              <w:autoSpaceDE w:val="0"/>
              <w:autoSpaceDN w:val="0"/>
              <w:spacing w:after="20" w:line="259" w:lineRule="auto"/>
              <w:ind w:right="113"/>
              <w:contextualSpacing w:val="0"/>
              <w:jc w:val="both"/>
            </w:pPr>
            <w:r w:rsidRPr="00591F1A">
              <w:t xml:space="preserve">Réforme des services, systèmes </w:t>
            </w:r>
            <w:r w:rsidR="004C5B40">
              <w:t xml:space="preserve">compensatoires </w:t>
            </w:r>
            <w:r w:rsidRPr="00591F1A">
              <w:t xml:space="preserve">et politiques concernant le handicap </w:t>
            </w:r>
            <w:r w:rsidR="00A370FC">
              <w:rPr>
                <w:rFonts w:cstheme="minorHAnsi"/>
              </w:rPr>
              <w:t>prenant en compte</w:t>
            </w:r>
            <w:r w:rsidR="00A370FC" w:rsidRPr="009D7734">
              <w:rPr>
                <w:rFonts w:cstheme="minorHAnsi"/>
              </w:rPr>
              <w:t xml:space="preserve"> à la fois </w:t>
            </w:r>
            <w:r w:rsidR="00A370FC">
              <w:rPr>
                <w:rFonts w:cstheme="minorHAnsi"/>
              </w:rPr>
              <w:t>les</w:t>
            </w:r>
            <w:r w:rsidR="00A370FC" w:rsidRPr="009D7734">
              <w:rPr>
                <w:rFonts w:cstheme="minorHAnsi"/>
              </w:rPr>
              <w:t xml:space="preserve"> facteurs personnels et environnementaux </w:t>
            </w:r>
            <w:r w:rsidRPr="00591F1A">
              <w:t>dans des dynamiques transversales et</w:t>
            </w:r>
            <w:r w:rsidR="0089117A">
              <w:t xml:space="preserve"> à visée inclusive</w:t>
            </w:r>
            <w:r w:rsidR="00F52BFD">
              <w:t>.</w:t>
            </w:r>
          </w:p>
        </w:tc>
      </w:tr>
    </w:tbl>
    <w:p w:rsidR="00AA219E" w:rsidRPr="00AA219E" w:rsidRDefault="00AA219E">
      <w:pPr>
        <w:spacing w:after="160"/>
        <w:rPr>
          <w:rFonts w:asciiTheme="majorHAnsi" w:eastAsiaTheme="majorEastAsia" w:hAnsiTheme="majorHAnsi" w:cstheme="majorBidi"/>
          <w:color w:val="2E74B5" w:themeColor="accent1" w:themeShade="BF"/>
          <w:sz w:val="10"/>
          <w:szCs w:val="10"/>
        </w:rPr>
      </w:pPr>
      <w:bookmarkStart w:id="13" w:name="_Toc18076099"/>
      <w:bookmarkEnd w:id="12"/>
      <w:r w:rsidRPr="00AA219E">
        <w:rPr>
          <w:sz w:val="10"/>
          <w:szCs w:val="10"/>
        </w:rPr>
        <w:br w:type="page"/>
      </w:r>
    </w:p>
    <w:p w:rsidR="00E14192" w:rsidRDefault="00E14192" w:rsidP="00027EF9">
      <w:pPr>
        <w:pStyle w:val="Heading2"/>
        <w:numPr>
          <w:ilvl w:val="0"/>
          <w:numId w:val="1"/>
        </w:numPr>
        <w:spacing w:before="0" w:after="20"/>
        <w:jc w:val="both"/>
      </w:pPr>
      <w:bookmarkStart w:id="14" w:name="_Toc29546060"/>
      <w:r>
        <w:lastRenderedPageBreak/>
        <w:t>Droits spécifiques (articles 5 à 29)</w:t>
      </w:r>
      <w:bookmarkEnd w:id="13"/>
      <w:bookmarkEnd w:id="14"/>
    </w:p>
    <w:p w:rsidR="00E14192" w:rsidRPr="00795608" w:rsidRDefault="00E14192" w:rsidP="00F85197">
      <w:pPr>
        <w:spacing w:after="20"/>
        <w:jc w:val="both"/>
      </w:pPr>
    </w:p>
    <w:p w:rsidR="00E14192" w:rsidRDefault="00E14192" w:rsidP="007227BF">
      <w:pPr>
        <w:pStyle w:val="Heading3"/>
      </w:pPr>
      <w:bookmarkStart w:id="15" w:name="_Toc18076100"/>
      <w:bookmarkStart w:id="16" w:name="_Toc29546061"/>
      <w:r w:rsidRPr="00C31358">
        <w:t xml:space="preserve">Article 5 </w:t>
      </w:r>
      <w:r w:rsidR="00C4409C">
        <w:t>–</w:t>
      </w:r>
      <w:r w:rsidRPr="00C31358">
        <w:t xml:space="preserve"> Égalité et non-discrimination</w:t>
      </w:r>
      <w:bookmarkEnd w:id="15"/>
      <w:bookmarkEnd w:id="16"/>
    </w:p>
    <w:p w:rsidR="0031742C" w:rsidRDefault="0031742C" w:rsidP="00F85197">
      <w:pPr>
        <w:pStyle w:val="Heading4"/>
        <w:spacing w:before="0" w:after="20"/>
        <w:ind w:firstLine="708"/>
        <w:jc w:val="both"/>
      </w:pPr>
    </w:p>
    <w:p w:rsidR="00A35121" w:rsidRDefault="00A35121" w:rsidP="00F85197">
      <w:pPr>
        <w:pStyle w:val="Heading4"/>
        <w:spacing w:before="0" w:after="20"/>
        <w:ind w:firstLine="708"/>
        <w:jc w:val="both"/>
      </w:pPr>
      <w:r w:rsidRPr="00224D1B">
        <w:t>Aménagement raisonnable</w:t>
      </w:r>
    </w:p>
    <w:p w:rsidR="0031742C" w:rsidRDefault="0031742C" w:rsidP="00F85197">
      <w:pPr>
        <w:spacing w:after="20"/>
        <w:jc w:val="both"/>
      </w:pPr>
    </w:p>
    <w:p w:rsidR="00A35121" w:rsidRDefault="00A35121" w:rsidP="00F85197">
      <w:pPr>
        <w:spacing w:after="20"/>
        <w:jc w:val="both"/>
      </w:pPr>
      <w:r w:rsidRPr="00DF14B6">
        <w:t>La combin</w:t>
      </w:r>
      <w:r w:rsidR="0089117A">
        <w:t xml:space="preserve">aison des articles 2 et 5 </w:t>
      </w:r>
      <w:r w:rsidRPr="00DF14B6">
        <w:t>implique de créer un</w:t>
      </w:r>
      <w:r w:rsidR="00B75B3C">
        <w:t xml:space="preserve"> </w:t>
      </w:r>
      <w:r w:rsidR="00B75B3C" w:rsidRPr="00CD0647">
        <w:rPr>
          <w:b/>
        </w:rPr>
        <w:t>motif de discrimination</w:t>
      </w:r>
      <w:r w:rsidRPr="00CD0647">
        <w:rPr>
          <w:b/>
        </w:rPr>
        <w:t xml:space="preserve"> basé sur le refus d’aménagement raisonnable</w:t>
      </w:r>
      <w:r w:rsidRPr="00DF14B6">
        <w:t xml:space="preserve"> pour permettre aux personnes handicapées d’accéder à une égalité réelle. </w:t>
      </w:r>
      <w:r w:rsidR="0089117A">
        <w:t>L</w:t>
      </w:r>
      <w:r w:rsidR="00382D62">
        <w:t xml:space="preserve">a nécessité de réaliser un </w:t>
      </w:r>
      <w:r w:rsidR="0089117A">
        <w:t>aménagement raisonnable</w:t>
      </w:r>
      <w:r>
        <w:t xml:space="preserve"> s’applique </w:t>
      </w:r>
      <w:r w:rsidR="0089117A">
        <w:t>dans</w:t>
      </w:r>
      <w:r>
        <w:t xml:space="preserve"> </w:t>
      </w:r>
      <w:r w:rsidRPr="00EC126B">
        <w:t>tous les domaines,</w:t>
      </w:r>
      <w:r>
        <w:t xml:space="preserve"> comme mesure d’inclusion propre à protéger et </w:t>
      </w:r>
      <w:r w:rsidR="0093499C">
        <w:t xml:space="preserve">à </w:t>
      </w:r>
      <w:r>
        <w:t xml:space="preserve">promouvoir l’ensemble des droits </w:t>
      </w:r>
      <w:r w:rsidR="0093499C">
        <w:t>humains.</w:t>
      </w:r>
    </w:p>
    <w:p w:rsidR="00EC126B" w:rsidRDefault="00EC126B" w:rsidP="00F85197">
      <w:pPr>
        <w:spacing w:after="20"/>
        <w:jc w:val="both"/>
      </w:pPr>
    </w:p>
    <w:p w:rsidR="00241573" w:rsidRDefault="00466D07" w:rsidP="00F85197">
      <w:pPr>
        <w:spacing w:after="20"/>
        <w:jc w:val="both"/>
      </w:pPr>
      <w:r>
        <w:t xml:space="preserve">Cependant, la notion d’aménagement raisonnable est </w:t>
      </w:r>
      <w:r w:rsidR="004C5B40">
        <w:t>« </w:t>
      </w:r>
      <w:r>
        <w:t>recyclée</w:t>
      </w:r>
      <w:r w:rsidR="004C5B40">
        <w:t> », voire dénaturée,</w:t>
      </w:r>
      <w:r>
        <w:t xml:space="preserve"> dans la rhétorique de la </w:t>
      </w:r>
      <w:r w:rsidRPr="00F3498D">
        <w:t>solidarité nationale comme mesure de compensation</w:t>
      </w:r>
      <w:r w:rsidR="004C5B40" w:rsidRPr="00F3498D">
        <w:t xml:space="preserve"> individuelle,</w:t>
      </w:r>
      <w:r w:rsidR="004C5B40">
        <w:rPr>
          <w:b/>
        </w:rPr>
        <w:t xml:space="preserve"> </w:t>
      </w:r>
      <w:r w:rsidR="004C5B40" w:rsidRPr="00EC126B">
        <w:t>alors qu’elle relève d’une obligation légale générale</w:t>
      </w:r>
      <w:r w:rsidR="00241573">
        <w:t xml:space="preserve">. </w:t>
      </w:r>
    </w:p>
    <w:p w:rsidR="00A35121" w:rsidRPr="002D2598" w:rsidRDefault="00241573" w:rsidP="00F85197">
      <w:pPr>
        <w:spacing w:after="20"/>
        <w:jc w:val="both"/>
      </w:pPr>
      <w:r w:rsidRPr="00241573">
        <w:t>De plus,</w:t>
      </w:r>
      <w:r w:rsidR="00732AA0">
        <w:t xml:space="preserve"> cette notion est </w:t>
      </w:r>
      <w:r w:rsidR="000C10DA">
        <w:t>circonscrite</w:t>
      </w:r>
      <w:r w:rsidR="00732AA0">
        <w:t xml:space="preserve"> au</w:t>
      </w:r>
      <w:r w:rsidR="00732AA0" w:rsidRPr="00732AA0">
        <w:rPr>
          <w:b/>
        </w:rPr>
        <w:t xml:space="preserve"> domaine de l’emploi</w:t>
      </w:r>
      <w:r w:rsidR="00732AA0">
        <w:t xml:space="preserve">, </w:t>
      </w:r>
      <w:r w:rsidR="0089117A">
        <w:t xml:space="preserve">et </w:t>
      </w:r>
      <w:r w:rsidR="00732AA0">
        <w:t>ne s’applique qu’aux</w:t>
      </w:r>
      <w:r w:rsidR="002D2598" w:rsidRPr="002D2598">
        <w:t xml:space="preserve"> personnes reconnues administrativement handicapées</w:t>
      </w:r>
      <w:r w:rsidR="00732AA0">
        <w:t xml:space="preserve"> et l</w:t>
      </w:r>
      <w:r w:rsidR="00866FD1">
        <w:t>es mesures ne doivent</w:t>
      </w:r>
      <w:r w:rsidR="00A35121" w:rsidRPr="00DF14B6">
        <w:t xml:space="preserve"> pas induire </w:t>
      </w:r>
      <w:r w:rsidR="00F3498D">
        <w:t>une</w:t>
      </w:r>
      <w:r w:rsidR="00927C32" w:rsidRPr="00DF14B6">
        <w:t xml:space="preserve"> </w:t>
      </w:r>
      <w:r w:rsidR="00A35121">
        <w:t>« </w:t>
      </w:r>
      <w:r w:rsidR="00A35121" w:rsidRPr="00AB2BFE">
        <w:rPr>
          <w:b/>
        </w:rPr>
        <w:t>charge disproportionnée</w:t>
      </w:r>
      <w:r w:rsidR="00A35121">
        <w:rPr>
          <w:b/>
        </w:rPr>
        <w:t> »</w:t>
      </w:r>
      <w:r w:rsidR="00732AA0">
        <w:rPr>
          <w:b/>
        </w:rPr>
        <w:t xml:space="preserve"> </w:t>
      </w:r>
      <w:r w:rsidR="00732AA0" w:rsidRPr="00F3498D">
        <w:t>pour l’employeur</w:t>
      </w:r>
      <w:r w:rsidR="00732AA0" w:rsidRPr="0093499C">
        <w:t>, la loi française insistant</w:t>
      </w:r>
      <w:r w:rsidR="00A35121" w:rsidRPr="0093499C">
        <w:t xml:space="preserve"> sur les obligations de moyens qui s’imposent à l’employeur sans évoquer</w:t>
      </w:r>
      <w:r w:rsidR="00A35121" w:rsidRPr="002D2598">
        <w:t xml:space="preserve"> </w:t>
      </w:r>
      <w:r w:rsidR="00732AA0">
        <w:t xml:space="preserve">les aides financières existantes. </w:t>
      </w:r>
    </w:p>
    <w:p w:rsidR="00A35121" w:rsidRPr="00F3498D" w:rsidRDefault="00732AA0" w:rsidP="00F85197">
      <w:pPr>
        <w:pStyle w:val="Default"/>
        <w:spacing w:after="20" w:line="259" w:lineRule="auto"/>
        <w:jc w:val="both"/>
        <w:rPr>
          <w:rFonts w:asciiTheme="minorHAnsi" w:hAnsiTheme="minorHAnsi" w:cstheme="minorBidi"/>
          <w:color w:val="auto"/>
          <w:sz w:val="22"/>
          <w:szCs w:val="22"/>
        </w:rPr>
      </w:pPr>
      <w:r w:rsidRPr="00F3498D">
        <w:rPr>
          <w:rFonts w:asciiTheme="minorHAnsi" w:hAnsiTheme="minorHAnsi" w:cstheme="minorBidi"/>
          <w:color w:val="auto"/>
          <w:sz w:val="22"/>
          <w:szCs w:val="22"/>
        </w:rPr>
        <w:t>Finalement, le refus de réaliser un aménagement raisonnable n’est pas perçu comme constitutif d’une</w:t>
      </w:r>
      <w:r w:rsidR="00FB42EC" w:rsidRPr="00F3498D">
        <w:rPr>
          <w:rFonts w:asciiTheme="minorHAnsi" w:hAnsiTheme="minorHAnsi" w:cstheme="minorBidi"/>
          <w:color w:val="auto"/>
          <w:sz w:val="22"/>
          <w:szCs w:val="22"/>
        </w:rPr>
        <w:t xml:space="preserve"> </w:t>
      </w:r>
      <w:r w:rsidR="00A35121" w:rsidRPr="00F3498D">
        <w:rPr>
          <w:rFonts w:asciiTheme="minorHAnsi" w:hAnsiTheme="minorHAnsi" w:cstheme="minorBidi"/>
          <w:b/>
          <w:color w:val="auto"/>
          <w:sz w:val="22"/>
          <w:szCs w:val="22"/>
        </w:rPr>
        <w:t>discri</w:t>
      </w:r>
      <w:r w:rsidRPr="00F3498D">
        <w:rPr>
          <w:rFonts w:asciiTheme="minorHAnsi" w:hAnsiTheme="minorHAnsi" w:cstheme="minorBidi"/>
          <w:b/>
          <w:color w:val="auto"/>
          <w:sz w:val="22"/>
          <w:szCs w:val="22"/>
        </w:rPr>
        <w:t>mination</w:t>
      </w:r>
      <w:r w:rsidRPr="00F3498D">
        <w:rPr>
          <w:rFonts w:asciiTheme="minorHAnsi" w:hAnsiTheme="minorHAnsi" w:cstheme="minorBidi"/>
          <w:color w:val="auto"/>
          <w:sz w:val="22"/>
          <w:szCs w:val="22"/>
        </w:rPr>
        <w:t xml:space="preserve"> fondée sur le handicap.</w:t>
      </w:r>
    </w:p>
    <w:p w:rsidR="00A35121" w:rsidRPr="00DF14B6" w:rsidRDefault="00A35121" w:rsidP="00F85197">
      <w:pPr>
        <w:spacing w:after="20"/>
        <w:jc w:val="both"/>
      </w:pPr>
    </w:p>
    <w:p w:rsidR="00A35121" w:rsidRPr="00DF14B6" w:rsidRDefault="00A35121" w:rsidP="00F85197">
      <w:pPr>
        <w:spacing w:after="20"/>
        <w:jc w:val="both"/>
      </w:pPr>
      <w:r w:rsidRPr="00DF14B6">
        <w:t xml:space="preserve">Par conséquent, </w:t>
      </w:r>
      <w:r w:rsidR="00F3498D">
        <w:t>l’absence de mesure</w:t>
      </w:r>
      <w:r w:rsidR="00382D62">
        <w:t>s</w:t>
      </w:r>
      <w:r w:rsidR="00F3498D">
        <w:t xml:space="preserve"> appropriée</w:t>
      </w:r>
      <w:r w:rsidR="00382D62">
        <w:t>s</w:t>
      </w:r>
      <w:r w:rsidRPr="00DF14B6">
        <w:t xml:space="preserve"> ne permet pas aux personnes handicapées l’exercice des droits fondamentaux et est source d’exclusion, c</w:t>
      </w:r>
      <w:r>
        <w:t>ontraire au principe d’égalité.</w:t>
      </w:r>
    </w:p>
    <w:p w:rsidR="00A35121" w:rsidRPr="00A35121" w:rsidRDefault="00A35121" w:rsidP="00F85197">
      <w:pPr>
        <w:spacing w:after="20"/>
        <w:rPr>
          <w:lang w:eastAsia="en-GB"/>
        </w:rPr>
      </w:pPr>
    </w:p>
    <w:p w:rsidR="00E14192" w:rsidRDefault="00E14192" w:rsidP="00F85197">
      <w:pPr>
        <w:pStyle w:val="Heading4"/>
        <w:spacing w:before="0" w:after="20"/>
        <w:ind w:firstLine="708"/>
        <w:jc w:val="both"/>
      </w:pPr>
      <w:r w:rsidRPr="007C356B">
        <w:t xml:space="preserve">Discrimination fondée sur le handicap </w:t>
      </w:r>
    </w:p>
    <w:p w:rsidR="00E14192" w:rsidRDefault="00E14192" w:rsidP="00F85197">
      <w:pPr>
        <w:spacing w:after="20"/>
        <w:jc w:val="both"/>
      </w:pPr>
    </w:p>
    <w:p w:rsidR="004509A4" w:rsidRDefault="008F6536" w:rsidP="00F85197">
      <w:pPr>
        <w:spacing w:after="20"/>
        <w:jc w:val="both"/>
      </w:pPr>
      <w:r w:rsidRPr="008F6536">
        <w:lastRenderedPageBreak/>
        <w:t>Le handicap est la</w:t>
      </w:r>
      <w:r w:rsidR="008B1081" w:rsidRPr="008F6536">
        <w:t xml:space="preserve"> </w:t>
      </w:r>
      <w:r w:rsidRPr="008F6536">
        <w:t>première</w:t>
      </w:r>
      <w:r w:rsidR="008B1081" w:rsidRPr="008F6536">
        <w:t xml:space="preserve"> </w:t>
      </w:r>
      <w:r w:rsidRPr="008F6536">
        <w:t>cause</w:t>
      </w:r>
      <w:r w:rsidR="008B1081" w:rsidRPr="008F6536">
        <w:t xml:space="preserve"> de discrimination parmi les saisines reçues </w:t>
      </w:r>
      <w:r w:rsidRPr="008F6536">
        <w:t>par le</w:t>
      </w:r>
      <w:r w:rsidR="008B1081" w:rsidRPr="008F6536">
        <w:t xml:space="preserve"> Défenseur des droits</w:t>
      </w:r>
      <w:r w:rsidR="008B1081" w:rsidRPr="008F6536">
        <w:rPr>
          <w:rStyle w:val="EndnoteReference"/>
        </w:rPr>
        <w:endnoteReference w:id="8"/>
      </w:r>
      <w:r w:rsidR="008B1081" w:rsidRPr="008F6536">
        <w:t>. Or, l</w:t>
      </w:r>
      <w:r w:rsidR="004509A4" w:rsidRPr="008F6536">
        <w:t>’article 5 impose aux Etats de garantir « </w:t>
      </w:r>
      <w:r w:rsidR="004509A4" w:rsidRPr="008F6536">
        <w:rPr>
          <w:i/>
        </w:rPr>
        <w:t>une égale et effective protection juridique contre</w:t>
      </w:r>
      <w:r w:rsidR="004509A4" w:rsidRPr="00932BB7">
        <w:rPr>
          <w:i/>
        </w:rPr>
        <w:t xml:space="preserve"> toute discrimination, quel qu’en soit le fondement</w:t>
      </w:r>
      <w:r w:rsidR="004509A4">
        <w:t xml:space="preserve"> ». </w:t>
      </w:r>
    </w:p>
    <w:p w:rsidR="004509A4" w:rsidRDefault="00382D62" w:rsidP="00F85197">
      <w:pPr>
        <w:spacing w:after="20"/>
        <w:jc w:val="both"/>
      </w:pPr>
      <w:r>
        <w:t>Ainsi, le</w:t>
      </w:r>
      <w:r w:rsidR="004509A4">
        <w:t xml:space="preserve"> principe de non-discrimination </w:t>
      </w:r>
      <w:r>
        <w:t xml:space="preserve">doit par essence être </w:t>
      </w:r>
      <w:r w:rsidR="004509A4" w:rsidRPr="007C4399">
        <w:rPr>
          <w:b/>
        </w:rPr>
        <w:t>transversal et s’a</w:t>
      </w:r>
      <w:r w:rsidR="00D735CD">
        <w:rPr>
          <w:b/>
        </w:rPr>
        <w:t xml:space="preserve">ppliquer dans tous les domaines. </w:t>
      </w:r>
    </w:p>
    <w:p w:rsidR="004509A4" w:rsidRPr="00BA786A" w:rsidRDefault="001F667F" w:rsidP="00F85197">
      <w:pPr>
        <w:spacing w:after="20"/>
        <w:jc w:val="both"/>
      </w:pPr>
      <w:r w:rsidRPr="00BA786A">
        <w:t>Jusqu</w:t>
      </w:r>
      <w:r w:rsidR="00445E73">
        <w:t>’</w:t>
      </w:r>
      <w:r w:rsidRPr="00BA786A">
        <w:t>e</w:t>
      </w:r>
      <w:r w:rsidR="00445E73">
        <w:t>n</w:t>
      </w:r>
      <w:r w:rsidRPr="00BA786A">
        <w:t> 2016</w:t>
      </w:r>
      <w:r w:rsidRPr="00BA786A">
        <w:rPr>
          <w:rStyle w:val="EndnoteReference"/>
        </w:rPr>
        <w:endnoteReference w:id="9"/>
      </w:r>
      <w:r w:rsidRPr="00BA786A">
        <w:t>,</w:t>
      </w:r>
      <w:r w:rsidR="004509A4" w:rsidRPr="00BA786A">
        <w:t xml:space="preserve"> il n’était pas possible d’exercer de recours civil et administratif pour une discrimination concernant l’accès aux biens et aux services ; seul le domaine de l’emploi était concerné. S’il était possible d’exercer un recours pénal, il n’existait pas </w:t>
      </w:r>
      <w:r w:rsidR="004509A4" w:rsidRPr="00BA786A">
        <w:rPr>
          <w:b/>
        </w:rPr>
        <w:t>d’aménagement de la charge de la preuve</w:t>
      </w:r>
      <w:r w:rsidR="004509A4" w:rsidRPr="00BA786A">
        <w:t xml:space="preserve">, rendant la situation préjudiciable pour les victimes de discriminations. Désormais, il est possible d’exercer un </w:t>
      </w:r>
      <w:r w:rsidR="004509A4" w:rsidRPr="00BA786A">
        <w:rPr>
          <w:b/>
        </w:rPr>
        <w:t>recours civil, administratif ou pénal dans tous les domaines</w:t>
      </w:r>
      <w:r w:rsidR="004509A4" w:rsidRPr="00BA786A">
        <w:t xml:space="preserve">. Finalement la loi de 2016 </w:t>
      </w:r>
      <w:r w:rsidRPr="00BA786A">
        <w:t xml:space="preserve">a aussi </w:t>
      </w:r>
      <w:r w:rsidR="004509A4" w:rsidRPr="00BA786A">
        <w:t>rajout</w:t>
      </w:r>
      <w:r w:rsidRPr="00BA786A">
        <w:t>é</w:t>
      </w:r>
      <w:r w:rsidR="004509A4" w:rsidRPr="00BA786A">
        <w:t xml:space="preserve"> la possibilité d’exercer une </w:t>
      </w:r>
      <w:r w:rsidR="004509A4" w:rsidRPr="00BA786A">
        <w:rPr>
          <w:b/>
        </w:rPr>
        <w:t>action de groupe</w:t>
      </w:r>
      <w:r w:rsidR="004509A4" w:rsidRPr="00BA786A">
        <w:t xml:space="preserve"> mais à des conditions strictes. </w:t>
      </w:r>
    </w:p>
    <w:p w:rsidR="004509A4" w:rsidRPr="00BA786A" w:rsidRDefault="004509A4" w:rsidP="00F85197">
      <w:pPr>
        <w:spacing w:after="20"/>
        <w:jc w:val="both"/>
      </w:pPr>
    </w:p>
    <w:p w:rsidR="004509A4" w:rsidRDefault="004509A4" w:rsidP="00F85197">
      <w:pPr>
        <w:spacing w:after="20"/>
        <w:jc w:val="both"/>
        <w:rPr>
          <w:sz w:val="14"/>
          <w:szCs w:val="14"/>
        </w:rPr>
      </w:pPr>
      <w:r>
        <w:t xml:space="preserve">Selon </w:t>
      </w:r>
      <w:r w:rsidR="00D735CD">
        <w:t xml:space="preserve">le </w:t>
      </w:r>
      <w:r w:rsidRPr="0005624B">
        <w:t>Haut-Commissariat des Nations unies aux droits de l’Homme</w:t>
      </w:r>
      <w:r w:rsidRPr="0005624B">
        <w:rPr>
          <w:rStyle w:val="EndnoteReference"/>
        </w:rPr>
        <w:endnoteReference w:id="10"/>
      </w:r>
      <w:r w:rsidRPr="002A458B">
        <w:rPr>
          <w:rFonts w:ascii="Arial" w:hAnsi="Arial" w:cs="Arial"/>
        </w:rPr>
        <w:t xml:space="preserve">, </w:t>
      </w:r>
      <w:r w:rsidRPr="0005624B">
        <w:t>la « </w:t>
      </w:r>
      <w:r w:rsidRPr="00ED41C9">
        <w:rPr>
          <w:i/>
        </w:rPr>
        <w:t>discrimination fondée sur le handicap</w:t>
      </w:r>
      <w:r w:rsidRPr="0005624B">
        <w:t xml:space="preserve"> » au sens de la Convention « </w:t>
      </w:r>
      <w:r w:rsidRPr="002A458B">
        <w:rPr>
          <w:b/>
          <w:i/>
        </w:rPr>
        <w:t>concerne toutes les formes de discriminations,</w:t>
      </w:r>
      <w:r w:rsidRPr="002A458B">
        <w:rPr>
          <w:i/>
        </w:rPr>
        <w:t xml:space="preserve"> notamment la discrimination directe, la discrimination indirecte, la discrimination par association, la discrimination structurelle ou systémique, la discrimination fondée sur un handicap supposé, l’exclusion et la ségrégation fondées sur le handicap dans tous les domaines de la vie sociale, la violence fondée sur le handicap, le déni d’accès, le refus d’aménagement raisonnable et l’incapacité à fournir des aménagements procéduraux pour garantir l’accès à la justice »,</w:t>
      </w:r>
      <w:r w:rsidRPr="0005624B">
        <w:t xml:space="preserve"> ainsi que les formes de discriminations fondées sur plusieurs motifs (discrimination multiple et discrimination croisée). </w:t>
      </w:r>
    </w:p>
    <w:p w:rsidR="001F667F" w:rsidRDefault="004509A4" w:rsidP="00F85197">
      <w:pPr>
        <w:spacing w:after="20"/>
        <w:jc w:val="both"/>
      </w:pPr>
      <w:r>
        <w:t>Or, le droit français ne prend en compte que les discrim</w:t>
      </w:r>
      <w:r w:rsidR="00382D62">
        <w:t xml:space="preserve">inations directes et indirectes, mais </w:t>
      </w:r>
      <w:r w:rsidRPr="001F667F">
        <w:t xml:space="preserve">le refus de procéder à des aménagements raisonnables </w:t>
      </w:r>
      <w:r w:rsidR="001F667F" w:rsidRPr="001F667F">
        <w:t xml:space="preserve">n’est pas constitutif d’une discrimination. </w:t>
      </w:r>
    </w:p>
    <w:p w:rsidR="00500CB9" w:rsidRDefault="004509A4" w:rsidP="00F85197">
      <w:pPr>
        <w:spacing w:after="20"/>
        <w:jc w:val="both"/>
      </w:pPr>
      <w:r w:rsidRPr="002A458B">
        <w:t xml:space="preserve">Ainsi, si la protection juridique contre les discriminations </w:t>
      </w:r>
      <w:r>
        <w:t>s’applique</w:t>
      </w:r>
      <w:r w:rsidRPr="002A458B">
        <w:t xml:space="preserve"> en droit français </w:t>
      </w:r>
      <w:r>
        <w:t xml:space="preserve">dans tous les domaines, </w:t>
      </w:r>
      <w:r w:rsidRPr="007C4399">
        <w:rPr>
          <w:b/>
        </w:rPr>
        <w:t>de nombreuses formes de discrimination ne sont</w:t>
      </w:r>
      <w:r w:rsidR="00382D62">
        <w:rPr>
          <w:b/>
        </w:rPr>
        <w:t xml:space="preserve"> toujours</w:t>
      </w:r>
      <w:r w:rsidRPr="007C4399">
        <w:rPr>
          <w:b/>
        </w:rPr>
        <w:t xml:space="preserve"> pas prises en compte</w:t>
      </w:r>
      <w:r w:rsidR="00EC126B">
        <w:t xml:space="preserve">. </w:t>
      </w:r>
    </w:p>
    <w:p w:rsidR="00E14192" w:rsidRPr="00A41F3A" w:rsidRDefault="00E14192" w:rsidP="00F85197">
      <w:pPr>
        <w:spacing w:after="20"/>
        <w:jc w:val="both"/>
        <w:rPr>
          <w:sz w:val="16"/>
          <w:szCs w:val="16"/>
        </w:rPr>
      </w:pPr>
    </w:p>
    <w:p w:rsidR="00E14192" w:rsidRDefault="00E14192" w:rsidP="00F85197">
      <w:pPr>
        <w:pStyle w:val="Heading4"/>
        <w:spacing w:before="0" w:after="20"/>
        <w:ind w:firstLine="708"/>
        <w:jc w:val="both"/>
      </w:pPr>
      <w:r>
        <w:lastRenderedPageBreak/>
        <w:t xml:space="preserve">Principe d’égalité </w:t>
      </w:r>
    </w:p>
    <w:p w:rsidR="00E14192" w:rsidRPr="00A41F3A" w:rsidRDefault="00E14192" w:rsidP="00F85197">
      <w:pPr>
        <w:spacing w:after="20"/>
        <w:jc w:val="both"/>
        <w:rPr>
          <w:sz w:val="16"/>
          <w:szCs w:val="16"/>
        </w:rPr>
      </w:pPr>
    </w:p>
    <w:p w:rsidR="00E14192" w:rsidRDefault="00E14192" w:rsidP="00F85197">
      <w:pPr>
        <w:pStyle w:val="Default"/>
        <w:spacing w:after="20" w:line="259" w:lineRule="auto"/>
        <w:jc w:val="both"/>
        <w:rPr>
          <w:rFonts w:asciiTheme="minorHAnsi" w:hAnsiTheme="minorHAnsi" w:cstheme="minorBidi"/>
          <w:color w:val="auto"/>
          <w:sz w:val="22"/>
          <w:szCs w:val="22"/>
        </w:rPr>
      </w:pPr>
      <w:r>
        <w:rPr>
          <w:rFonts w:asciiTheme="minorHAnsi" w:hAnsiTheme="minorHAnsi" w:cstheme="minorBidi"/>
          <w:color w:val="auto"/>
          <w:sz w:val="22"/>
          <w:szCs w:val="22"/>
        </w:rPr>
        <w:t>Si le</w:t>
      </w:r>
      <w:r w:rsidRPr="00DF14B6">
        <w:rPr>
          <w:rFonts w:asciiTheme="minorHAnsi" w:hAnsiTheme="minorHAnsi" w:cstheme="minorBidi"/>
          <w:color w:val="auto"/>
          <w:sz w:val="22"/>
          <w:szCs w:val="22"/>
        </w:rPr>
        <w:t xml:space="preserve"> principe d’égalité est consacré au plus haut niveau en droit français</w:t>
      </w:r>
      <w:r w:rsidR="00F3498D">
        <w:rPr>
          <w:rStyle w:val="EndnoteReference"/>
          <w:rFonts w:asciiTheme="minorHAnsi" w:hAnsiTheme="minorHAnsi" w:cstheme="minorBidi"/>
          <w:color w:val="auto"/>
          <w:sz w:val="22"/>
          <w:szCs w:val="22"/>
        </w:rPr>
        <w:endnoteReference w:id="11"/>
      </w:r>
      <w:r w:rsidR="00F3498D">
        <w:rPr>
          <w:rFonts w:asciiTheme="minorHAnsi" w:hAnsiTheme="minorHAnsi" w:cstheme="minorBidi"/>
          <w:color w:val="auto"/>
          <w:sz w:val="22"/>
          <w:szCs w:val="22"/>
        </w:rPr>
        <w:t>, des inégalités persistent :</w:t>
      </w:r>
    </w:p>
    <w:p w:rsidR="00F3498D" w:rsidRPr="00F3498D" w:rsidRDefault="00F3498D" w:rsidP="00F85197">
      <w:pPr>
        <w:pStyle w:val="Default"/>
        <w:spacing w:after="20" w:line="259" w:lineRule="auto"/>
        <w:jc w:val="both"/>
        <w:rPr>
          <w:rFonts w:asciiTheme="minorHAnsi" w:hAnsiTheme="minorHAnsi" w:cstheme="minorBidi"/>
          <w:b/>
          <w:color w:val="auto"/>
          <w:sz w:val="16"/>
          <w:szCs w:val="16"/>
        </w:rPr>
      </w:pPr>
    </w:p>
    <w:p w:rsidR="00E843DC" w:rsidRDefault="00E14192" w:rsidP="00027EF9">
      <w:pPr>
        <w:pStyle w:val="Default"/>
        <w:numPr>
          <w:ilvl w:val="0"/>
          <w:numId w:val="2"/>
        </w:numPr>
        <w:spacing w:after="20" w:line="259" w:lineRule="auto"/>
        <w:ind w:left="720"/>
        <w:jc w:val="both"/>
        <w:rPr>
          <w:rFonts w:asciiTheme="minorHAnsi" w:hAnsiTheme="minorHAnsi" w:cstheme="minorBidi"/>
          <w:color w:val="auto"/>
          <w:sz w:val="22"/>
          <w:szCs w:val="22"/>
        </w:rPr>
      </w:pPr>
      <w:r w:rsidRPr="00F3498D">
        <w:rPr>
          <w:rFonts w:asciiTheme="minorHAnsi" w:hAnsiTheme="minorHAnsi" w:cstheme="minorBidi"/>
          <w:b/>
          <w:color w:val="auto"/>
          <w:sz w:val="22"/>
          <w:szCs w:val="22"/>
        </w:rPr>
        <w:t>Disparités en</w:t>
      </w:r>
      <w:r w:rsidR="00FB42EC" w:rsidRPr="00F3498D">
        <w:rPr>
          <w:rFonts w:asciiTheme="minorHAnsi" w:hAnsiTheme="minorHAnsi" w:cstheme="minorBidi"/>
          <w:b/>
          <w:color w:val="auto"/>
          <w:sz w:val="22"/>
          <w:szCs w:val="22"/>
        </w:rPr>
        <w:t>tre</w:t>
      </w:r>
      <w:r w:rsidRPr="00F3498D">
        <w:rPr>
          <w:rFonts w:asciiTheme="minorHAnsi" w:hAnsiTheme="minorHAnsi" w:cstheme="minorBidi"/>
          <w:b/>
          <w:color w:val="auto"/>
          <w:sz w:val="22"/>
          <w:szCs w:val="22"/>
        </w:rPr>
        <w:t xml:space="preserve"> territoires</w:t>
      </w:r>
      <w:r w:rsidR="00F3498D">
        <w:rPr>
          <w:rFonts w:asciiTheme="minorHAnsi" w:hAnsiTheme="minorHAnsi" w:cstheme="minorBidi"/>
          <w:color w:val="auto"/>
          <w:sz w:val="22"/>
          <w:szCs w:val="22"/>
        </w:rPr>
        <w:t xml:space="preserve"> : </w:t>
      </w:r>
      <w:r w:rsidR="00A475FC">
        <w:rPr>
          <w:rFonts w:asciiTheme="minorHAnsi" w:hAnsiTheme="minorHAnsi" w:cstheme="minorBidi"/>
          <w:color w:val="auto"/>
          <w:sz w:val="22"/>
          <w:szCs w:val="22"/>
        </w:rPr>
        <w:t xml:space="preserve">en métropole </w:t>
      </w:r>
      <w:r w:rsidRPr="005025FC">
        <w:rPr>
          <w:rFonts w:asciiTheme="minorHAnsi" w:hAnsiTheme="minorHAnsi" w:cstheme="minorBidi"/>
          <w:color w:val="auto"/>
          <w:sz w:val="22"/>
          <w:szCs w:val="22"/>
        </w:rPr>
        <w:t>il existe</w:t>
      </w:r>
      <w:r w:rsidR="00A475FC">
        <w:rPr>
          <w:rFonts w:asciiTheme="minorHAnsi" w:hAnsiTheme="minorHAnsi" w:cstheme="minorBidi"/>
          <w:color w:val="auto"/>
          <w:sz w:val="22"/>
          <w:szCs w:val="22"/>
        </w:rPr>
        <w:t xml:space="preserve"> des différences de traitements selon les territoires (</w:t>
      </w:r>
      <w:r w:rsidR="006D5D83">
        <w:rPr>
          <w:rFonts w:asciiTheme="minorHAnsi" w:hAnsiTheme="minorHAnsi" w:cstheme="minorBidi"/>
          <w:color w:val="auto"/>
          <w:sz w:val="22"/>
          <w:szCs w:val="22"/>
        </w:rPr>
        <w:t>déserts médicaux, zones rurales et autres</w:t>
      </w:r>
      <w:r w:rsidR="00A475FC">
        <w:rPr>
          <w:rFonts w:asciiTheme="minorHAnsi" w:hAnsiTheme="minorHAnsi" w:cstheme="minorBidi"/>
          <w:color w:val="auto"/>
          <w:sz w:val="22"/>
          <w:szCs w:val="22"/>
        </w:rPr>
        <w:t>), et ces différence</w:t>
      </w:r>
      <w:r w:rsidR="006D5D83">
        <w:rPr>
          <w:rFonts w:asciiTheme="minorHAnsi" w:hAnsiTheme="minorHAnsi" w:cstheme="minorBidi"/>
          <w:color w:val="auto"/>
          <w:sz w:val="22"/>
          <w:szCs w:val="22"/>
        </w:rPr>
        <w:t xml:space="preserve">s sont exacerbées </w:t>
      </w:r>
      <w:r w:rsidR="000C5A1F">
        <w:rPr>
          <w:rFonts w:asciiTheme="minorHAnsi" w:hAnsiTheme="minorHAnsi" w:cstheme="minorBidi"/>
          <w:color w:val="auto"/>
          <w:sz w:val="22"/>
          <w:szCs w:val="22"/>
        </w:rPr>
        <w:t>outre-mer</w:t>
      </w:r>
      <w:r w:rsidR="006D5D83">
        <w:rPr>
          <w:rFonts w:asciiTheme="minorHAnsi" w:hAnsiTheme="minorHAnsi" w:cstheme="minorBidi"/>
          <w:color w:val="auto"/>
          <w:sz w:val="22"/>
          <w:szCs w:val="22"/>
        </w:rPr>
        <w:t xml:space="preserve"> – </w:t>
      </w:r>
      <w:r w:rsidR="00382D62">
        <w:rPr>
          <w:rFonts w:asciiTheme="minorHAnsi" w:hAnsiTheme="minorHAnsi" w:cstheme="minorBidi"/>
          <w:color w:val="auto"/>
          <w:sz w:val="22"/>
          <w:szCs w:val="22"/>
        </w:rPr>
        <w:t>où seul</w:t>
      </w:r>
      <w:r w:rsidR="000E7479">
        <w:rPr>
          <w:rFonts w:asciiTheme="minorHAnsi" w:hAnsiTheme="minorHAnsi" w:cstheme="minorBidi"/>
          <w:color w:val="auto"/>
          <w:sz w:val="22"/>
          <w:szCs w:val="22"/>
        </w:rPr>
        <w:t>es</w:t>
      </w:r>
      <w:r w:rsidRPr="005025FC">
        <w:rPr>
          <w:rFonts w:asciiTheme="minorHAnsi" w:hAnsiTheme="minorHAnsi" w:cstheme="minorBidi"/>
          <w:color w:val="auto"/>
          <w:sz w:val="22"/>
          <w:szCs w:val="22"/>
        </w:rPr>
        <w:t xml:space="preserve"> cinq </w:t>
      </w:r>
      <w:r w:rsidR="00A475FC">
        <w:rPr>
          <w:rFonts w:asciiTheme="minorHAnsi" w:hAnsiTheme="minorHAnsi" w:cstheme="minorBidi"/>
          <w:color w:val="auto"/>
          <w:sz w:val="22"/>
          <w:szCs w:val="22"/>
        </w:rPr>
        <w:t>m</w:t>
      </w:r>
      <w:r w:rsidRPr="005025FC">
        <w:rPr>
          <w:rFonts w:asciiTheme="minorHAnsi" w:hAnsiTheme="minorHAnsi" w:cstheme="minorBidi"/>
          <w:color w:val="auto"/>
          <w:sz w:val="22"/>
          <w:szCs w:val="22"/>
        </w:rPr>
        <w:t>aison</w:t>
      </w:r>
      <w:r w:rsidR="00FB42EC">
        <w:rPr>
          <w:rFonts w:asciiTheme="minorHAnsi" w:hAnsiTheme="minorHAnsi" w:cstheme="minorBidi"/>
          <w:color w:val="auto"/>
          <w:sz w:val="22"/>
          <w:szCs w:val="22"/>
        </w:rPr>
        <w:t>s</w:t>
      </w:r>
      <w:r w:rsidRPr="005025FC">
        <w:rPr>
          <w:rFonts w:asciiTheme="minorHAnsi" w:hAnsiTheme="minorHAnsi" w:cstheme="minorBidi"/>
          <w:color w:val="auto"/>
          <w:sz w:val="22"/>
          <w:szCs w:val="22"/>
        </w:rPr>
        <w:t xml:space="preserve"> départementales des personnes h</w:t>
      </w:r>
      <w:r w:rsidR="000E7479">
        <w:rPr>
          <w:rFonts w:asciiTheme="minorHAnsi" w:hAnsiTheme="minorHAnsi" w:cstheme="minorBidi"/>
          <w:color w:val="auto"/>
          <w:sz w:val="22"/>
          <w:szCs w:val="22"/>
        </w:rPr>
        <w:t>andicapées (MDPH) fonctionne</w:t>
      </w:r>
      <w:r w:rsidRPr="005025FC">
        <w:rPr>
          <w:rFonts w:asciiTheme="minorHAnsi" w:hAnsiTheme="minorHAnsi" w:cstheme="minorBidi"/>
          <w:color w:val="auto"/>
          <w:sz w:val="22"/>
          <w:szCs w:val="22"/>
        </w:rPr>
        <w:t xml:space="preserve">nt de façon indépendantes. </w:t>
      </w:r>
    </w:p>
    <w:p w:rsidR="00DE7813" w:rsidRPr="00330052" w:rsidRDefault="00A475FC" w:rsidP="00027EF9">
      <w:pPr>
        <w:pStyle w:val="Default"/>
        <w:numPr>
          <w:ilvl w:val="0"/>
          <w:numId w:val="2"/>
        </w:numPr>
        <w:spacing w:after="20" w:line="259" w:lineRule="auto"/>
        <w:ind w:left="720"/>
        <w:jc w:val="both"/>
        <w:rPr>
          <w:rFonts w:asciiTheme="minorHAnsi" w:hAnsiTheme="minorHAnsi" w:cstheme="minorBidi"/>
          <w:color w:val="auto"/>
          <w:sz w:val="22"/>
          <w:szCs w:val="22"/>
        </w:rPr>
      </w:pPr>
      <w:r w:rsidRPr="00A475FC">
        <w:rPr>
          <w:rFonts w:asciiTheme="minorHAnsi" w:hAnsiTheme="minorHAnsi" w:cstheme="minorBidi"/>
          <w:b/>
          <w:color w:val="auto"/>
          <w:sz w:val="22"/>
          <w:szCs w:val="22"/>
        </w:rPr>
        <w:t>Selon l’âge</w:t>
      </w:r>
      <w:r>
        <w:rPr>
          <w:rFonts w:asciiTheme="minorHAnsi" w:hAnsiTheme="minorHAnsi" w:cstheme="minorBidi"/>
          <w:color w:val="auto"/>
          <w:sz w:val="22"/>
          <w:szCs w:val="22"/>
        </w:rPr>
        <w:t> </w:t>
      </w:r>
      <w:r w:rsidRPr="00A475FC">
        <w:rPr>
          <w:rFonts w:asciiTheme="minorHAnsi" w:hAnsiTheme="minorHAnsi" w:cstheme="minorHAnsi"/>
          <w:sz w:val="22"/>
          <w:szCs w:val="22"/>
        </w:rPr>
        <w:t xml:space="preserve">: </w:t>
      </w:r>
      <w:r>
        <w:rPr>
          <w:rFonts w:asciiTheme="minorHAnsi" w:hAnsiTheme="minorHAnsi" w:cstheme="minorHAnsi"/>
          <w:sz w:val="22"/>
          <w:szCs w:val="22"/>
        </w:rPr>
        <w:t>u</w:t>
      </w:r>
      <w:r w:rsidR="00E14192" w:rsidRPr="00A475FC">
        <w:rPr>
          <w:rFonts w:asciiTheme="minorHAnsi" w:hAnsiTheme="minorHAnsi" w:cstheme="minorHAnsi"/>
          <w:sz w:val="22"/>
          <w:szCs w:val="22"/>
        </w:rPr>
        <w:t xml:space="preserve">ne personne dont le handicap </w:t>
      </w:r>
      <w:r>
        <w:rPr>
          <w:rFonts w:asciiTheme="minorHAnsi" w:hAnsiTheme="minorHAnsi" w:cstheme="minorHAnsi"/>
          <w:sz w:val="22"/>
          <w:szCs w:val="22"/>
        </w:rPr>
        <w:t>survient</w:t>
      </w:r>
      <w:r w:rsidR="00E14192" w:rsidRPr="00A475FC">
        <w:rPr>
          <w:rFonts w:asciiTheme="minorHAnsi" w:hAnsiTheme="minorHAnsi" w:cstheme="minorHAnsi"/>
          <w:sz w:val="22"/>
          <w:szCs w:val="22"/>
        </w:rPr>
        <w:t xml:space="preserve"> </w:t>
      </w:r>
      <w:r w:rsidR="00E14192" w:rsidRPr="00A475FC">
        <w:rPr>
          <w:rFonts w:asciiTheme="minorHAnsi" w:hAnsiTheme="minorHAnsi" w:cstheme="minorHAnsi"/>
          <w:b/>
          <w:sz w:val="22"/>
          <w:szCs w:val="22"/>
        </w:rPr>
        <w:t>après 60</w:t>
      </w:r>
      <w:r w:rsidR="00D03B79" w:rsidRPr="00A475FC">
        <w:rPr>
          <w:rFonts w:asciiTheme="minorHAnsi" w:hAnsiTheme="minorHAnsi" w:cstheme="minorHAnsi"/>
          <w:b/>
          <w:sz w:val="22"/>
          <w:szCs w:val="22"/>
        </w:rPr>
        <w:t xml:space="preserve"> ans</w:t>
      </w:r>
      <w:r w:rsidR="00E14192" w:rsidRPr="00A475FC">
        <w:rPr>
          <w:rFonts w:asciiTheme="minorHAnsi" w:hAnsiTheme="minorHAnsi" w:cstheme="minorHAnsi"/>
          <w:sz w:val="22"/>
          <w:szCs w:val="22"/>
        </w:rPr>
        <w:t xml:space="preserve"> ne relèvera pas du régime du handicap mais de celui </w:t>
      </w:r>
      <w:r w:rsidR="00C75C34" w:rsidRPr="00A475FC">
        <w:rPr>
          <w:rFonts w:asciiTheme="minorHAnsi" w:hAnsiTheme="minorHAnsi" w:cstheme="minorHAnsi"/>
          <w:sz w:val="22"/>
          <w:szCs w:val="22"/>
        </w:rPr>
        <w:t xml:space="preserve">de la </w:t>
      </w:r>
      <w:r w:rsidR="00E14192" w:rsidRPr="00A475FC">
        <w:rPr>
          <w:rFonts w:asciiTheme="minorHAnsi" w:hAnsiTheme="minorHAnsi" w:cstheme="minorHAnsi"/>
          <w:sz w:val="22"/>
          <w:szCs w:val="22"/>
        </w:rPr>
        <w:t xml:space="preserve">perte </w:t>
      </w:r>
      <w:r w:rsidR="00382D62">
        <w:rPr>
          <w:rFonts w:asciiTheme="minorHAnsi" w:hAnsiTheme="minorHAnsi" w:cstheme="minorHAnsi"/>
          <w:sz w:val="22"/>
          <w:szCs w:val="22"/>
        </w:rPr>
        <w:t>d’</w:t>
      </w:r>
      <w:r w:rsidR="00E14192" w:rsidRPr="00A475FC">
        <w:rPr>
          <w:rFonts w:asciiTheme="minorHAnsi" w:hAnsiTheme="minorHAnsi" w:cstheme="minorHAnsi"/>
          <w:sz w:val="22"/>
          <w:szCs w:val="22"/>
        </w:rPr>
        <w:t xml:space="preserve">autonomie et n’aura </w:t>
      </w:r>
      <w:r w:rsidR="00C75C34" w:rsidRPr="00A475FC">
        <w:rPr>
          <w:rFonts w:asciiTheme="minorHAnsi" w:hAnsiTheme="minorHAnsi" w:cstheme="minorHAnsi"/>
          <w:sz w:val="22"/>
          <w:szCs w:val="22"/>
        </w:rPr>
        <w:t xml:space="preserve">donc </w:t>
      </w:r>
      <w:r w:rsidR="00E14192" w:rsidRPr="00A475FC">
        <w:rPr>
          <w:rFonts w:asciiTheme="minorHAnsi" w:hAnsiTheme="minorHAnsi" w:cstheme="minorHAnsi"/>
          <w:sz w:val="22"/>
          <w:szCs w:val="22"/>
        </w:rPr>
        <w:t>pas les mêmes droits.</w:t>
      </w:r>
      <w:r w:rsidR="00E14192" w:rsidRPr="005025FC">
        <w:t xml:space="preserve"> </w:t>
      </w:r>
    </w:p>
    <w:p w:rsidR="00330052" w:rsidRPr="0084325F" w:rsidRDefault="00330052" w:rsidP="00027EF9">
      <w:pPr>
        <w:pStyle w:val="Default"/>
        <w:numPr>
          <w:ilvl w:val="0"/>
          <w:numId w:val="2"/>
        </w:numPr>
        <w:spacing w:after="20" w:line="259" w:lineRule="auto"/>
        <w:ind w:left="720"/>
        <w:jc w:val="both"/>
        <w:rPr>
          <w:rFonts w:asciiTheme="minorHAnsi" w:hAnsiTheme="minorHAnsi" w:cstheme="minorBidi"/>
          <w:color w:val="auto"/>
          <w:sz w:val="22"/>
          <w:szCs w:val="22"/>
        </w:rPr>
      </w:pPr>
      <w:r w:rsidRPr="0084325F">
        <w:rPr>
          <w:rFonts w:asciiTheme="minorHAnsi" w:hAnsiTheme="minorHAnsi" w:cstheme="minorBidi"/>
          <w:b/>
          <w:color w:val="auto"/>
          <w:sz w:val="22"/>
          <w:szCs w:val="22"/>
        </w:rPr>
        <w:t>Selon la cause du handicap </w:t>
      </w:r>
      <w:r w:rsidRPr="0084325F">
        <w:rPr>
          <w:rFonts w:asciiTheme="minorHAnsi" w:hAnsiTheme="minorHAnsi" w:cstheme="minorBidi"/>
          <w:color w:val="auto"/>
          <w:sz w:val="22"/>
          <w:szCs w:val="22"/>
        </w:rPr>
        <w:t xml:space="preserve">: les régimes de protection sociale peuvent différer selon que la cause est un accident du travail, de la </w:t>
      </w:r>
      <w:r w:rsidR="0084325F" w:rsidRPr="0084325F">
        <w:rPr>
          <w:rFonts w:asciiTheme="minorHAnsi" w:hAnsiTheme="minorHAnsi" w:cstheme="minorBidi"/>
          <w:color w:val="auto"/>
          <w:sz w:val="22"/>
          <w:szCs w:val="22"/>
        </w:rPr>
        <w:t xml:space="preserve">circulation, une blessure de guerre, un handicap de naissance ou </w:t>
      </w:r>
      <w:r w:rsidR="00382D62">
        <w:rPr>
          <w:rFonts w:asciiTheme="minorHAnsi" w:hAnsiTheme="minorHAnsi" w:cstheme="minorBidi"/>
          <w:color w:val="auto"/>
          <w:sz w:val="22"/>
          <w:szCs w:val="22"/>
        </w:rPr>
        <w:t>les conséquences ou séquelles d’</w:t>
      </w:r>
      <w:r w:rsidR="0084325F" w:rsidRPr="0084325F">
        <w:rPr>
          <w:rFonts w:asciiTheme="minorHAnsi" w:hAnsiTheme="minorHAnsi" w:cstheme="minorBidi"/>
          <w:color w:val="auto"/>
          <w:sz w:val="22"/>
          <w:szCs w:val="22"/>
        </w:rPr>
        <w:t>une maladie invalidante</w:t>
      </w:r>
      <w:r w:rsidR="00DE2729">
        <w:rPr>
          <w:rFonts w:asciiTheme="minorHAnsi" w:hAnsiTheme="minorHAnsi" w:cstheme="minorBidi"/>
          <w:color w:val="auto"/>
          <w:sz w:val="22"/>
          <w:szCs w:val="22"/>
        </w:rPr>
        <w:t xml:space="preserve"> acquise. </w:t>
      </w:r>
    </w:p>
    <w:p w:rsidR="00A37E7A" w:rsidRDefault="00A37E7A" w:rsidP="00F85197">
      <w:pPr>
        <w:spacing w:after="20"/>
        <w:jc w:val="both"/>
      </w:pPr>
    </w:p>
    <w:p w:rsidR="00A37E7A" w:rsidRPr="005025FC" w:rsidRDefault="00A37E7A" w:rsidP="00F85197">
      <w:pPr>
        <w:spacing w:after="20"/>
        <w:jc w:val="both"/>
      </w:pPr>
    </w:p>
    <w:tbl>
      <w:tblPr>
        <w:tblStyle w:val="GridTable1Light-Accent1"/>
        <w:tblW w:w="0" w:type="auto"/>
        <w:tblLook w:val="04A0" w:firstRow="1" w:lastRow="0" w:firstColumn="1" w:lastColumn="0" w:noHBand="0" w:noVBand="1"/>
      </w:tblPr>
      <w:tblGrid>
        <w:gridCol w:w="9062"/>
      </w:tblGrid>
      <w:tr w:rsidR="001E26C4" w:rsidTr="00A41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F2F7FC"/>
          </w:tcPr>
          <w:p w:rsidR="001E26C4" w:rsidRDefault="001E26C4" w:rsidP="00F85197">
            <w:pPr>
              <w:pStyle w:val="Heading7"/>
              <w:spacing w:before="0" w:after="20" w:line="259" w:lineRule="auto"/>
              <w:outlineLvl w:val="6"/>
            </w:pPr>
            <w:bookmarkStart w:id="17" w:name="_Toc20128111"/>
            <w:bookmarkStart w:id="18" w:name="_Toc18076101"/>
            <w:r w:rsidRPr="00F2623F">
              <w:rPr>
                <w:rStyle w:val="Emphasis"/>
                <w:i/>
                <w:iCs/>
              </w:rPr>
              <w:t>Recommandations</w:t>
            </w:r>
            <w:bookmarkEnd w:id="17"/>
            <w:r>
              <w:t> </w:t>
            </w:r>
          </w:p>
          <w:p w:rsidR="00EC2897" w:rsidRPr="00EC2897" w:rsidRDefault="00EC2897" w:rsidP="00EC2897">
            <w:pPr>
              <w:rPr>
                <w:lang w:eastAsia="en-GB"/>
              </w:rPr>
            </w:pPr>
          </w:p>
          <w:p w:rsidR="001A016D" w:rsidRPr="00591F1A" w:rsidRDefault="00BD131C" w:rsidP="00027EF9">
            <w:pPr>
              <w:pStyle w:val="ListParagraph"/>
              <w:widowControl w:val="0"/>
              <w:numPr>
                <w:ilvl w:val="0"/>
                <w:numId w:val="5"/>
              </w:numPr>
              <w:autoSpaceDE w:val="0"/>
              <w:autoSpaceDN w:val="0"/>
              <w:spacing w:after="20" w:line="259" w:lineRule="auto"/>
              <w:ind w:right="113"/>
              <w:contextualSpacing w:val="0"/>
              <w:jc w:val="both"/>
            </w:pPr>
            <w:r>
              <w:t>É</w:t>
            </w:r>
            <w:r w:rsidRPr="00591F1A">
              <w:t>largir</w:t>
            </w:r>
            <w:r w:rsidR="001A016D" w:rsidRPr="00591F1A">
              <w:t xml:space="preserve"> l’arsenal juridique de lutte contre les discriminations afin </w:t>
            </w:r>
            <w:r w:rsidR="00DE7813">
              <w:t>de</w:t>
            </w:r>
            <w:r w:rsidR="00E843DC">
              <w:t> :</w:t>
            </w:r>
          </w:p>
          <w:p w:rsidR="001A016D" w:rsidRPr="00591F1A" w:rsidRDefault="00DE7813" w:rsidP="00027EF9">
            <w:pPr>
              <w:pStyle w:val="ListParagraph"/>
              <w:widowControl w:val="0"/>
              <w:numPr>
                <w:ilvl w:val="1"/>
                <w:numId w:val="5"/>
              </w:numPr>
              <w:autoSpaceDE w:val="0"/>
              <w:autoSpaceDN w:val="0"/>
              <w:spacing w:after="20" w:line="259" w:lineRule="auto"/>
              <w:ind w:right="113"/>
              <w:contextualSpacing w:val="0"/>
              <w:jc w:val="both"/>
            </w:pPr>
            <w:r>
              <w:t>C</w:t>
            </w:r>
            <w:r w:rsidR="001A016D" w:rsidRPr="00591F1A">
              <w:t>ouvrir tous les domaines visés par l’article 2 de la Convention</w:t>
            </w:r>
            <w:r w:rsidR="00E843DC">
              <w:t> ;</w:t>
            </w:r>
          </w:p>
          <w:p w:rsidR="001A016D" w:rsidRPr="00591F1A" w:rsidRDefault="00DE7813" w:rsidP="00027EF9">
            <w:pPr>
              <w:pStyle w:val="ListParagraph"/>
              <w:widowControl w:val="0"/>
              <w:numPr>
                <w:ilvl w:val="1"/>
                <w:numId w:val="5"/>
              </w:numPr>
              <w:autoSpaceDE w:val="0"/>
              <w:autoSpaceDN w:val="0"/>
              <w:spacing w:after="20" w:line="259" w:lineRule="auto"/>
              <w:ind w:right="113"/>
              <w:contextualSpacing w:val="0"/>
              <w:jc w:val="both"/>
            </w:pPr>
            <w:r>
              <w:t>P</w:t>
            </w:r>
            <w:r w:rsidR="001A016D" w:rsidRPr="00591F1A">
              <w:t>rendre en compte les situations de discrimination par association fondée sur le handicap</w:t>
            </w:r>
            <w:r w:rsidR="00E843DC">
              <w:t> ;</w:t>
            </w:r>
          </w:p>
          <w:p w:rsidR="001A016D" w:rsidRPr="00591F1A" w:rsidRDefault="00DE7813" w:rsidP="00027EF9">
            <w:pPr>
              <w:pStyle w:val="ListParagraph"/>
              <w:widowControl w:val="0"/>
              <w:numPr>
                <w:ilvl w:val="1"/>
                <w:numId w:val="5"/>
              </w:numPr>
              <w:autoSpaceDE w:val="0"/>
              <w:autoSpaceDN w:val="0"/>
              <w:spacing w:after="20" w:line="259" w:lineRule="auto"/>
              <w:ind w:right="113"/>
              <w:contextualSpacing w:val="0"/>
              <w:jc w:val="both"/>
            </w:pPr>
            <w:r>
              <w:t>C</w:t>
            </w:r>
            <w:r w:rsidR="001A016D" w:rsidRPr="00591F1A">
              <w:t>onsidérer le refus de mettre en œuvre des aménagements raisonnables comme constitutif d’une discrimination</w:t>
            </w:r>
            <w:r w:rsidR="00E843DC">
              <w:t> ;</w:t>
            </w:r>
          </w:p>
          <w:p w:rsidR="001A016D" w:rsidRDefault="00DE7813" w:rsidP="00027EF9">
            <w:pPr>
              <w:pStyle w:val="ListParagraph"/>
              <w:widowControl w:val="0"/>
              <w:numPr>
                <w:ilvl w:val="1"/>
                <w:numId w:val="5"/>
              </w:numPr>
              <w:autoSpaceDE w:val="0"/>
              <w:autoSpaceDN w:val="0"/>
              <w:spacing w:after="20" w:line="259" w:lineRule="auto"/>
              <w:ind w:right="113"/>
              <w:contextualSpacing w:val="0"/>
              <w:jc w:val="both"/>
            </w:pPr>
            <w:r>
              <w:t>S</w:t>
            </w:r>
            <w:r w:rsidR="001A016D" w:rsidRPr="00591F1A">
              <w:t>anctionner les discriminations multiples ou croisées comme forme aggravée de discrimination.</w:t>
            </w:r>
          </w:p>
          <w:p w:rsidR="00DE7813" w:rsidRDefault="00DE7813" w:rsidP="00027EF9">
            <w:pPr>
              <w:pStyle w:val="ListParagraph"/>
              <w:widowControl w:val="0"/>
              <w:numPr>
                <w:ilvl w:val="0"/>
                <w:numId w:val="5"/>
              </w:numPr>
              <w:autoSpaceDE w:val="0"/>
              <w:autoSpaceDN w:val="0"/>
              <w:spacing w:after="20" w:line="259" w:lineRule="auto"/>
              <w:ind w:right="113"/>
              <w:contextualSpacing w:val="0"/>
              <w:jc w:val="both"/>
            </w:pPr>
            <w:r>
              <w:t>Rendre effectif le droit des personnes handicapées</w:t>
            </w:r>
            <w:r w:rsidR="00E843DC">
              <w:t xml:space="preserve"> en toute égalité de traitement</w:t>
            </w:r>
            <w:r>
              <w:t xml:space="preserve"> sur l</w:t>
            </w:r>
            <w:r w:rsidR="00E843DC">
              <w:t>’ensemble d</w:t>
            </w:r>
            <w:r>
              <w:t>es territoires</w:t>
            </w:r>
            <w:r w:rsidR="00E843DC">
              <w:t xml:space="preserve"> métropolitains et outre-mer.</w:t>
            </w:r>
          </w:p>
          <w:p w:rsidR="00EF6E6F" w:rsidRPr="00EF6E6F" w:rsidRDefault="00EF6E6F" w:rsidP="00F85197">
            <w:pPr>
              <w:spacing w:after="20" w:line="259" w:lineRule="auto"/>
              <w:ind w:left="360"/>
            </w:pPr>
          </w:p>
        </w:tc>
      </w:tr>
    </w:tbl>
    <w:p w:rsidR="001A016D" w:rsidRDefault="001A016D" w:rsidP="00F85197">
      <w:pPr>
        <w:spacing w:after="20"/>
        <w:rPr>
          <w:lang w:eastAsia="en-GB"/>
        </w:rPr>
      </w:pPr>
    </w:p>
    <w:p w:rsidR="004509A4" w:rsidRDefault="004509A4" w:rsidP="00F85197">
      <w:pPr>
        <w:spacing w:after="20"/>
        <w:rPr>
          <w:rFonts w:asciiTheme="majorHAnsi" w:eastAsiaTheme="majorEastAsia" w:hAnsiTheme="majorHAnsi" w:cstheme="majorBidi"/>
          <w:b/>
          <w:i/>
          <w:color w:val="2F5496" w:themeColor="accent5" w:themeShade="BF"/>
          <w:sz w:val="26"/>
          <w:lang w:eastAsia="en-GB"/>
        </w:rPr>
      </w:pPr>
      <w:r>
        <w:lastRenderedPageBreak/>
        <w:br w:type="page"/>
      </w:r>
    </w:p>
    <w:p w:rsidR="00E14192" w:rsidRDefault="00E14192" w:rsidP="007227BF">
      <w:pPr>
        <w:pStyle w:val="Heading3"/>
      </w:pPr>
      <w:bookmarkStart w:id="19" w:name="_Toc29546062"/>
      <w:r w:rsidRPr="00C31358">
        <w:lastRenderedPageBreak/>
        <w:t xml:space="preserve">Article 6 </w:t>
      </w:r>
      <w:r w:rsidR="00C4409C">
        <w:t>–</w:t>
      </w:r>
      <w:r w:rsidRPr="00C31358">
        <w:t xml:space="preserve"> Femmes handicapées</w:t>
      </w:r>
      <w:bookmarkEnd w:id="18"/>
      <w:bookmarkEnd w:id="19"/>
      <w:r>
        <w:t xml:space="preserve"> </w:t>
      </w:r>
    </w:p>
    <w:p w:rsidR="004654EE" w:rsidRDefault="004654EE" w:rsidP="004654EE">
      <w:pPr>
        <w:spacing w:afterLines="20" w:after="48" w:line="240" w:lineRule="auto"/>
        <w:jc w:val="both"/>
        <w:rPr>
          <w:rFonts w:eastAsia="Times New Roman" w:cstheme="minorHAnsi"/>
          <w:lang w:eastAsia="fr-FR"/>
        </w:rPr>
      </w:pPr>
      <w:bookmarkStart w:id="20" w:name="_Toc18076102"/>
    </w:p>
    <w:p w:rsidR="00B35863" w:rsidRPr="000C5A1F" w:rsidRDefault="00B35863" w:rsidP="004654EE">
      <w:pPr>
        <w:spacing w:afterLines="20" w:after="48" w:line="240" w:lineRule="auto"/>
        <w:jc w:val="both"/>
        <w:rPr>
          <w:rFonts w:eastAsia="Times New Roman" w:cstheme="minorHAnsi"/>
          <w:lang w:eastAsia="fr-FR"/>
        </w:rPr>
      </w:pPr>
      <w:r w:rsidRPr="000C5A1F">
        <w:rPr>
          <w:rFonts w:eastAsia="Times New Roman" w:cstheme="minorHAnsi"/>
          <w:lang w:eastAsia="fr-FR"/>
        </w:rPr>
        <w:t xml:space="preserve">L’égalité femmes-hommes reconnue à l’article 4 de la Convention est un </w:t>
      </w:r>
      <w:r w:rsidRPr="00952F51">
        <w:rPr>
          <w:rFonts w:eastAsia="Times New Roman" w:cstheme="minorHAnsi"/>
          <w:b/>
          <w:lang w:eastAsia="fr-FR"/>
        </w:rPr>
        <w:t>principe transversal</w:t>
      </w:r>
      <w:r w:rsidRPr="000C5A1F">
        <w:rPr>
          <w:rFonts w:eastAsia="Times New Roman" w:cstheme="minorHAnsi"/>
          <w:lang w:eastAsia="fr-FR"/>
        </w:rPr>
        <w:t>, la spécificité de la situation des femmes et des filles handicapées doit être prise en compte car elles subis</w:t>
      </w:r>
      <w:r w:rsidR="0004474B">
        <w:rPr>
          <w:rFonts w:eastAsia="Times New Roman" w:cstheme="minorHAnsi"/>
          <w:lang w:eastAsia="fr-FR"/>
        </w:rPr>
        <w:t xml:space="preserve">sent une double discrimination – une discrimination de genre s’ajoutant à celle du handicap. </w:t>
      </w:r>
    </w:p>
    <w:p w:rsidR="004654EE" w:rsidRDefault="004654EE" w:rsidP="004654EE">
      <w:pPr>
        <w:spacing w:afterLines="20" w:after="48" w:line="240" w:lineRule="auto"/>
        <w:jc w:val="both"/>
        <w:rPr>
          <w:rFonts w:eastAsia="Times New Roman" w:cstheme="minorHAnsi"/>
          <w:lang w:eastAsia="fr-FR"/>
        </w:rPr>
      </w:pPr>
    </w:p>
    <w:p w:rsidR="00B35863" w:rsidRDefault="00B35863" w:rsidP="004654EE">
      <w:pPr>
        <w:spacing w:afterLines="20" w:after="48" w:line="240" w:lineRule="auto"/>
        <w:jc w:val="both"/>
        <w:rPr>
          <w:rFonts w:eastAsia="Times New Roman" w:cstheme="minorHAnsi"/>
          <w:b/>
          <w:bCs/>
          <w:lang w:eastAsia="fr-FR"/>
        </w:rPr>
      </w:pPr>
      <w:r w:rsidRPr="000C5A1F">
        <w:rPr>
          <w:rFonts w:eastAsia="Times New Roman" w:cstheme="minorHAnsi"/>
          <w:lang w:eastAsia="fr-FR"/>
        </w:rPr>
        <w:t>Malgré la législation française sur l’égalité réelle entre les femmes et les hommes</w:t>
      </w:r>
      <w:r w:rsidRPr="000C5A1F">
        <w:rPr>
          <w:rStyle w:val="EndnoteReference"/>
          <w:rFonts w:eastAsia="Times New Roman" w:cstheme="minorHAnsi"/>
          <w:lang w:eastAsia="fr-FR"/>
        </w:rPr>
        <w:endnoteReference w:id="12"/>
      </w:r>
      <w:r w:rsidRPr="000C5A1F">
        <w:rPr>
          <w:rFonts w:eastAsia="Times New Roman" w:cstheme="minorHAnsi"/>
          <w:lang w:eastAsia="fr-FR"/>
        </w:rPr>
        <w:t>, le mouvement associatif constate la persistance des barrières culturelles et comportementales qui font obstacle à la participation à la vie citoyenne des femmes handicapées. La société les réduit à leur handicap, leur déniant leur féminité et les enferme dans un concept asexué de « personnes handicapées »</w:t>
      </w:r>
      <w:r w:rsidRPr="000C5A1F">
        <w:rPr>
          <w:rFonts w:eastAsia="Times New Roman" w:cstheme="minorHAnsi"/>
          <w:b/>
          <w:bCs/>
          <w:lang w:eastAsia="fr-FR"/>
        </w:rPr>
        <w:t>.</w:t>
      </w:r>
    </w:p>
    <w:p w:rsidR="004654EE" w:rsidRPr="000C5A1F" w:rsidRDefault="004654EE" w:rsidP="004654EE">
      <w:pPr>
        <w:spacing w:afterLines="20" w:after="48" w:line="240" w:lineRule="auto"/>
        <w:jc w:val="both"/>
        <w:rPr>
          <w:rFonts w:eastAsia="Times New Roman" w:cstheme="minorHAnsi"/>
          <w:lang w:eastAsia="fr-FR"/>
        </w:rPr>
      </w:pPr>
    </w:p>
    <w:p w:rsidR="00B35863" w:rsidRDefault="00B35863" w:rsidP="004654EE">
      <w:pPr>
        <w:numPr>
          <w:ilvl w:val="0"/>
          <w:numId w:val="6"/>
        </w:numPr>
        <w:spacing w:after="20" w:line="240" w:lineRule="auto"/>
        <w:ind w:left="714" w:hanging="357"/>
        <w:jc w:val="both"/>
        <w:rPr>
          <w:rFonts w:eastAsia="Times New Roman" w:cstheme="minorHAnsi"/>
          <w:lang w:eastAsia="fr-FR"/>
        </w:rPr>
      </w:pPr>
      <w:r w:rsidRPr="000C5A1F">
        <w:rPr>
          <w:rFonts w:ascii="Calibri" w:eastAsia="Times New Roman" w:hAnsi="Calibri" w:cs="Calibri"/>
          <w:b/>
          <w:bCs/>
          <w:lang w:eastAsia="fr-FR"/>
        </w:rPr>
        <w:t>Les statistiques sur le handicap ne sont pas genrées</w:t>
      </w:r>
      <w:r w:rsidRPr="000C5A1F">
        <w:rPr>
          <w:rFonts w:ascii="Times New Roman" w:eastAsia="Times New Roman" w:hAnsi="Times New Roman" w:cs="Times New Roman"/>
          <w:lang w:eastAsia="fr-FR"/>
        </w:rPr>
        <w:t xml:space="preserve"> </w:t>
      </w:r>
      <w:r w:rsidR="00931C3C">
        <w:rPr>
          <w:rFonts w:ascii="Calibri" w:eastAsia="Times New Roman" w:hAnsi="Calibri" w:cs="Calibri"/>
          <w:lang w:eastAsia="fr-FR"/>
        </w:rPr>
        <w:t>(</w:t>
      </w:r>
      <w:r w:rsidR="00D14CF4">
        <w:rPr>
          <w:rFonts w:ascii="Calibri" w:eastAsia="Times New Roman" w:hAnsi="Calibri" w:cs="Calibri"/>
          <w:lang w:eastAsia="fr-FR"/>
        </w:rPr>
        <w:t>éducatio</w:t>
      </w:r>
      <w:r w:rsidR="00931C3C">
        <w:rPr>
          <w:rFonts w:ascii="Calibri" w:eastAsia="Times New Roman" w:hAnsi="Calibri" w:cs="Calibri"/>
          <w:lang w:eastAsia="fr-FR"/>
        </w:rPr>
        <w:t>n</w:t>
      </w:r>
      <w:r w:rsidR="00D14CF4">
        <w:rPr>
          <w:rFonts w:ascii="Calibri" w:eastAsia="Times New Roman" w:hAnsi="Calibri" w:cs="Calibri"/>
          <w:lang w:eastAsia="fr-FR"/>
        </w:rPr>
        <w:t>, santé, emploi</w:t>
      </w:r>
      <w:r w:rsidRPr="000C5A1F">
        <w:rPr>
          <w:rFonts w:ascii="Calibri" w:eastAsia="Times New Roman" w:hAnsi="Calibri" w:cs="Calibri"/>
          <w:lang w:eastAsia="fr-FR"/>
        </w:rPr>
        <w:t xml:space="preserve">), rendant les femmes handicapées le plus souvent invisibles </w:t>
      </w:r>
      <w:r w:rsidRPr="00952F51">
        <w:rPr>
          <w:rFonts w:ascii="Calibri" w:eastAsia="Times New Roman" w:hAnsi="Calibri" w:cs="Calibri"/>
          <w:bCs/>
          <w:lang w:eastAsia="fr-FR"/>
        </w:rPr>
        <w:t>et</w:t>
      </w:r>
      <w:r w:rsidRPr="000C5A1F">
        <w:rPr>
          <w:rFonts w:ascii="Calibri" w:eastAsia="Times New Roman" w:hAnsi="Calibri" w:cs="Calibri"/>
          <w:b/>
          <w:bCs/>
          <w:lang w:eastAsia="fr-FR"/>
        </w:rPr>
        <w:t xml:space="preserve"> oubliées par les politiques publiques qui ne croisent pas handicap et </w:t>
      </w:r>
      <w:r w:rsidRPr="000C5A1F">
        <w:rPr>
          <w:rFonts w:eastAsia="Times New Roman" w:cstheme="minorHAnsi"/>
          <w:b/>
          <w:bCs/>
          <w:lang w:eastAsia="fr-FR"/>
        </w:rPr>
        <w:t>genre</w:t>
      </w:r>
      <w:r w:rsidRPr="000C5A1F">
        <w:rPr>
          <w:rFonts w:eastAsia="Times New Roman" w:cstheme="minorHAnsi"/>
          <w:bCs/>
          <w:lang w:eastAsia="fr-FR"/>
        </w:rPr>
        <w:t xml:space="preserve"> </w:t>
      </w:r>
      <w:r w:rsidR="002540EF">
        <w:rPr>
          <w:rFonts w:eastAsia="Times New Roman" w:cstheme="minorHAnsi"/>
          <w:bCs/>
          <w:lang w:eastAsia="fr-FR"/>
        </w:rPr>
        <w:t xml:space="preserve">comme </w:t>
      </w:r>
      <w:r w:rsidRPr="000C5A1F">
        <w:rPr>
          <w:rFonts w:eastAsia="Times New Roman" w:cstheme="minorHAnsi"/>
          <w:lang w:eastAsia="fr-FR"/>
        </w:rPr>
        <w:t xml:space="preserve">les campagnes en </w:t>
      </w:r>
      <w:r w:rsidR="00B04EAC">
        <w:rPr>
          <w:rFonts w:eastAsia="Times New Roman" w:cstheme="minorHAnsi"/>
          <w:lang w:eastAsia="fr-FR"/>
        </w:rPr>
        <w:t>matière d’égalité femmes-hommes</w:t>
      </w:r>
      <w:r w:rsidR="002540EF">
        <w:rPr>
          <w:rFonts w:eastAsia="Times New Roman" w:cstheme="minorHAnsi"/>
          <w:lang w:eastAsia="fr-FR"/>
        </w:rPr>
        <w:t xml:space="preserve"> ou de </w:t>
      </w:r>
      <w:r w:rsidRPr="000C5A1F">
        <w:rPr>
          <w:rFonts w:eastAsia="Times New Roman" w:cstheme="minorHAnsi"/>
          <w:lang w:eastAsia="fr-FR"/>
        </w:rPr>
        <w:t xml:space="preserve">lutte contre les violences faites aux femmes. </w:t>
      </w:r>
    </w:p>
    <w:p w:rsidR="004654EE" w:rsidRPr="000C5A1F" w:rsidRDefault="004654EE" w:rsidP="004654EE">
      <w:pPr>
        <w:spacing w:after="20" w:line="240" w:lineRule="auto"/>
        <w:jc w:val="both"/>
        <w:rPr>
          <w:rFonts w:eastAsia="Times New Roman" w:cstheme="minorHAnsi"/>
          <w:lang w:eastAsia="fr-FR"/>
        </w:rPr>
      </w:pPr>
    </w:p>
    <w:p w:rsidR="004654EE" w:rsidRPr="00654B03" w:rsidRDefault="00B35863" w:rsidP="005430B3">
      <w:pPr>
        <w:pStyle w:val="ListParagraph"/>
        <w:numPr>
          <w:ilvl w:val="0"/>
          <w:numId w:val="6"/>
        </w:numPr>
        <w:spacing w:after="20" w:line="240" w:lineRule="auto"/>
        <w:jc w:val="both"/>
        <w:rPr>
          <w:rFonts w:ascii="Times New Roman" w:eastAsia="Times New Roman" w:hAnsi="Times New Roman" w:cs="Times New Roman"/>
          <w:lang w:eastAsia="fr-FR"/>
        </w:rPr>
      </w:pPr>
      <w:r w:rsidRPr="00654B03">
        <w:rPr>
          <w:rFonts w:ascii="Calibri" w:eastAsia="Times New Roman" w:hAnsi="Calibri" w:cs="Calibri"/>
          <w:b/>
          <w:bCs/>
          <w:lang w:eastAsia="fr-FR"/>
        </w:rPr>
        <w:t xml:space="preserve">Les personnels d’accompagnement et d’assistance ne sont pas formés </w:t>
      </w:r>
      <w:r w:rsidRPr="00654B03">
        <w:rPr>
          <w:rFonts w:ascii="Calibri" w:eastAsia="Times New Roman" w:hAnsi="Calibri" w:cs="Calibri"/>
          <w:bCs/>
          <w:lang w:eastAsia="fr-FR"/>
        </w:rPr>
        <w:t>à l’égalité femmes-hommes</w:t>
      </w:r>
      <w:r w:rsidR="00952F51" w:rsidRPr="00654B03">
        <w:rPr>
          <w:rFonts w:ascii="Calibri" w:eastAsia="Times New Roman" w:hAnsi="Calibri" w:cs="Calibri"/>
          <w:bCs/>
          <w:lang w:eastAsia="fr-FR"/>
        </w:rPr>
        <w:t>,</w:t>
      </w:r>
      <w:r w:rsidR="00952F51" w:rsidRPr="00654B03">
        <w:rPr>
          <w:rFonts w:ascii="Calibri" w:eastAsia="Times New Roman" w:hAnsi="Calibri" w:cs="Calibri"/>
          <w:b/>
          <w:bCs/>
          <w:lang w:eastAsia="fr-FR"/>
        </w:rPr>
        <w:t xml:space="preserve"> </w:t>
      </w:r>
      <w:r w:rsidRPr="00654B03">
        <w:rPr>
          <w:rFonts w:ascii="Calibri" w:eastAsia="Times New Roman" w:hAnsi="Calibri" w:cs="Calibri"/>
          <w:lang w:eastAsia="fr-FR"/>
        </w:rPr>
        <w:t>particulièrement dans</w:t>
      </w:r>
      <w:r w:rsidRPr="00654B03">
        <w:rPr>
          <w:rFonts w:ascii="Times New Roman" w:eastAsia="Times New Roman" w:hAnsi="Times New Roman" w:cs="Times New Roman"/>
          <w:lang w:eastAsia="fr-FR"/>
        </w:rPr>
        <w:t xml:space="preserve"> </w:t>
      </w:r>
      <w:r w:rsidRPr="00654B03">
        <w:rPr>
          <w:rFonts w:eastAsia="Times New Roman" w:cstheme="minorHAnsi"/>
          <w:lang w:eastAsia="fr-FR"/>
        </w:rPr>
        <w:t>les</w:t>
      </w:r>
      <w:r w:rsidR="00654B03">
        <w:rPr>
          <w:rFonts w:eastAsia="Times New Roman" w:cstheme="minorHAnsi"/>
          <w:lang w:eastAsia="fr-FR"/>
        </w:rPr>
        <w:t xml:space="preserve"> </w:t>
      </w:r>
      <w:r w:rsidR="00654B03">
        <w:rPr>
          <w:rStyle w:val="st"/>
        </w:rPr>
        <w:t xml:space="preserve">établissements </w:t>
      </w:r>
      <w:r w:rsidR="00654B03" w:rsidRPr="00654B03">
        <w:rPr>
          <w:rStyle w:val="st"/>
        </w:rPr>
        <w:t>et services sociaux et médico-sociaux</w:t>
      </w:r>
      <w:r w:rsidRPr="00654B03">
        <w:rPr>
          <w:rFonts w:eastAsia="Times New Roman" w:cstheme="minorHAnsi"/>
          <w:lang w:eastAsia="fr-FR"/>
        </w:rPr>
        <w:t xml:space="preserve"> </w:t>
      </w:r>
      <w:r w:rsidR="00654B03" w:rsidRPr="00654B03">
        <w:rPr>
          <w:rFonts w:ascii="Calibri" w:eastAsia="Times New Roman" w:hAnsi="Calibri" w:cs="Calibri"/>
          <w:lang w:eastAsia="fr-FR"/>
        </w:rPr>
        <w:t xml:space="preserve">(ESMS). </w:t>
      </w:r>
    </w:p>
    <w:p w:rsidR="00654B03" w:rsidRPr="00654B03" w:rsidRDefault="00654B03" w:rsidP="00654B03">
      <w:pPr>
        <w:spacing w:after="20" w:line="240" w:lineRule="auto"/>
        <w:jc w:val="both"/>
        <w:rPr>
          <w:rFonts w:ascii="Times New Roman" w:eastAsia="Times New Roman" w:hAnsi="Times New Roman" w:cs="Times New Roman"/>
          <w:lang w:eastAsia="fr-FR"/>
        </w:rPr>
      </w:pPr>
    </w:p>
    <w:p w:rsidR="00B35863" w:rsidRPr="004654EE" w:rsidRDefault="00B35863" w:rsidP="009A5CDE">
      <w:pPr>
        <w:numPr>
          <w:ilvl w:val="0"/>
          <w:numId w:val="6"/>
        </w:numPr>
        <w:spacing w:after="20" w:line="240" w:lineRule="auto"/>
        <w:jc w:val="both"/>
        <w:rPr>
          <w:rFonts w:ascii="Times New Roman" w:eastAsia="Times New Roman" w:hAnsi="Times New Roman" w:cs="Times New Roman"/>
          <w:lang w:eastAsia="fr-FR"/>
        </w:rPr>
      </w:pPr>
      <w:r w:rsidRPr="000C5A1F">
        <w:rPr>
          <w:rFonts w:ascii="Calibri" w:eastAsia="Times New Roman" w:hAnsi="Calibri" w:cs="Calibri"/>
          <w:lang w:eastAsia="fr-FR"/>
        </w:rPr>
        <w:t xml:space="preserve">Les personnes handicapées ont très peu accès à une </w:t>
      </w:r>
      <w:r w:rsidRPr="00952F51">
        <w:rPr>
          <w:rFonts w:ascii="Calibri" w:eastAsia="Times New Roman" w:hAnsi="Calibri" w:cs="Calibri"/>
          <w:b/>
          <w:lang w:eastAsia="fr-FR"/>
        </w:rPr>
        <w:t>éducation à la sexualité et à la vie affective</w:t>
      </w:r>
      <w:r w:rsidRPr="000C5A1F">
        <w:rPr>
          <w:rFonts w:ascii="Calibri" w:eastAsia="Times New Roman" w:hAnsi="Calibri" w:cs="Calibri"/>
          <w:lang w:eastAsia="fr-FR"/>
        </w:rPr>
        <w:t xml:space="preserve"> et </w:t>
      </w:r>
      <w:r w:rsidRPr="00952F51">
        <w:rPr>
          <w:rFonts w:ascii="Calibri" w:eastAsia="Times New Roman" w:hAnsi="Calibri" w:cs="Calibri"/>
          <w:bCs/>
          <w:lang w:eastAsia="fr-FR"/>
        </w:rPr>
        <w:t xml:space="preserve">leurs droits </w:t>
      </w:r>
      <w:r w:rsidR="00706845" w:rsidRPr="00952F51">
        <w:rPr>
          <w:rFonts w:ascii="Calibri" w:eastAsia="Times New Roman" w:hAnsi="Calibri" w:cs="Calibri"/>
          <w:bCs/>
          <w:lang w:eastAsia="fr-FR"/>
        </w:rPr>
        <w:t xml:space="preserve">liés à la procréation </w:t>
      </w:r>
      <w:r w:rsidRPr="00952F51">
        <w:rPr>
          <w:rFonts w:ascii="Calibri" w:eastAsia="Times New Roman" w:hAnsi="Calibri" w:cs="Calibri"/>
          <w:bCs/>
          <w:lang w:eastAsia="fr-FR"/>
        </w:rPr>
        <w:t>ne sont souvent pas respectés,</w:t>
      </w:r>
      <w:r w:rsidRPr="000C5A1F">
        <w:rPr>
          <w:rFonts w:ascii="Calibri" w:eastAsia="Times New Roman" w:hAnsi="Calibri" w:cs="Calibri"/>
          <w:b/>
          <w:bCs/>
          <w:lang w:eastAsia="fr-FR"/>
        </w:rPr>
        <w:t xml:space="preserve"> </w:t>
      </w:r>
      <w:r w:rsidRPr="000C5A1F">
        <w:rPr>
          <w:rFonts w:ascii="Calibri" w:eastAsia="Times New Roman" w:hAnsi="Calibri" w:cs="Calibri"/>
          <w:lang w:eastAsia="fr-FR"/>
        </w:rPr>
        <w:t xml:space="preserve">comme le choix de la </w:t>
      </w:r>
      <w:r w:rsidRPr="000C5A1F">
        <w:rPr>
          <w:rFonts w:ascii="Calibri" w:eastAsia="Times New Roman" w:hAnsi="Calibri" w:cs="Calibri"/>
          <w:b/>
          <w:lang w:eastAsia="fr-FR"/>
        </w:rPr>
        <w:t>contraception</w:t>
      </w:r>
      <w:r w:rsidR="00D14CF4">
        <w:rPr>
          <w:rFonts w:ascii="Calibri" w:eastAsia="Times New Roman" w:hAnsi="Calibri" w:cs="Calibri"/>
          <w:lang w:eastAsia="fr-FR"/>
        </w:rPr>
        <w:t>, souvent imposée,</w:t>
      </w:r>
      <w:r w:rsidR="00706845" w:rsidRPr="000C5A1F">
        <w:rPr>
          <w:rFonts w:ascii="Calibri" w:eastAsia="Times New Roman" w:hAnsi="Calibri" w:cs="Calibri"/>
          <w:lang w:eastAsia="fr-FR"/>
        </w:rPr>
        <w:t xml:space="preserve"> voire la stérilisation forcée –</w:t>
      </w:r>
      <w:r w:rsidR="00D14CF4">
        <w:rPr>
          <w:rFonts w:ascii="Calibri" w:eastAsia="Times New Roman" w:hAnsi="Calibri" w:cs="Calibri"/>
          <w:lang w:eastAsia="fr-FR"/>
        </w:rPr>
        <w:t xml:space="preserve"> </w:t>
      </w:r>
      <w:r w:rsidR="00706845" w:rsidRPr="000C5A1F">
        <w:rPr>
          <w:rFonts w:ascii="Calibri" w:eastAsia="Times New Roman" w:hAnsi="Calibri" w:cs="Calibri"/>
          <w:lang w:eastAsia="fr-FR"/>
        </w:rPr>
        <w:t xml:space="preserve">contraire au </w:t>
      </w:r>
      <w:r w:rsidRPr="000C5A1F">
        <w:rPr>
          <w:rFonts w:ascii="Calibri" w:eastAsia="Times New Roman" w:hAnsi="Calibri" w:cs="Calibri"/>
          <w:lang w:eastAsia="fr-FR"/>
        </w:rPr>
        <w:t>principe de libre disposition de son corps</w:t>
      </w:r>
      <w:r w:rsidRPr="000C5A1F">
        <w:rPr>
          <w:rStyle w:val="EndnoteReference"/>
          <w:rFonts w:ascii="Calibri" w:hAnsi="Calibri" w:cs="Calibri"/>
          <w:color w:val="000000"/>
        </w:rPr>
        <w:endnoteReference w:id="13"/>
      </w:r>
      <w:r w:rsidRPr="000C5A1F">
        <w:rPr>
          <w:rFonts w:ascii="Calibri" w:hAnsi="Calibri" w:cs="Calibri"/>
          <w:color w:val="000000"/>
        </w:rPr>
        <w:t>.</w:t>
      </w:r>
      <w:r w:rsidRPr="000C5A1F">
        <w:rPr>
          <w:rFonts w:ascii="Calibri" w:eastAsia="Times New Roman" w:hAnsi="Calibri" w:cs="Calibri"/>
          <w:lang w:eastAsia="fr-FR"/>
        </w:rPr>
        <w:t xml:space="preserve"> </w:t>
      </w:r>
    </w:p>
    <w:p w:rsidR="004654EE" w:rsidRPr="000C5A1F" w:rsidRDefault="004654EE" w:rsidP="004654EE">
      <w:pPr>
        <w:spacing w:after="20" w:line="240" w:lineRule="auto"/>
        <w:jc w:val="both"/>
        <w:rPr>
          <w:rFonts w:ascii="Times New Roman" w:eastAsia="Times New Roman" w:hAnsi="Times New Roman" w:cs="Times New Roman"/>
          <w:lang w:eastAsia="fr-FR"/>
        </w:rPr>
      </w:pPr>
    </w:p>
    <w:p w:rsidR="00B35863" w:rsidRPr="004654EE" w:rsidRDefault="00B35863" w:rsidP="009A5CDE">
      <w:pPr>
        <w:numPr>
          <w:ilvl w:val="0"/>
          <w:numId w:val="6"/>
        </w:numPr>
        <w:spacing w:after="20" w:line="240" w:lineRule="auto"/>
        <w:jc w:val="both"/>
        <w:rPr>
          <w:rFonts w:ascii="Times New Roman" w:eastAsia="Times New Roman" w:hAnsi="Times New Roman" w:cs="Times New Roman"/>
          <w:lang w:eastAsia="fr-FR"/>
        </w:rPr>
      </w:pPr>
      <w:r w:rsidRPr="00D14CF4">
        <w:rPr>
          <w:rFonts w:ascii="Calibri" w:eastAsia="Times New Roman" w:hAnsi="Calibri" w:cs="Calibri"/>
          <w:bCs/>
          <w:lang w:eastAsia="fr-FR"/>
        </w:rPr>
        <w:lastRenderedPageBreak/>
        <w:t>Quatre femmes handicapées sur cinq vivent des</w:t>
      </w:r>
      <w:r w:rsidRPr="000C5A1F">
        <w:rPr>
          <w:rFonts w:ascii="Calibri" w:eastAsia="Times New Roman" w:hAnsi="Calibri" w:cs="Calibri"/>
          <w:b/>
          <w:bCs/>
          <w:lang w:eastAsia="fr-FR"/>
        </w:rPr>
        <w:t xml:space="preserve"> violences</w:t>
      </w:r>
      <w:r w:rsidR="0069126F">
        <w:rPr>
          <w:rFonts w:ascii="Calibri" w:eastAsia="Times New Roman" w:hAnsi="Calibri" w:cs="Calibri"/>
          <w:b/>
          <w:bCs/>
          <w:lang w:eastAsia="fr-FR"/>
        </w:rPr>
        <w:t xml:space="preserve"> en tout genre (sexuelles, physiques et psychiques)</w:t>
      </w:r>
      <w:r w:rsidRPr="000C5A1F">
        <w:rPr>
          <w:rFonts w:ascii="Calibri" w:eastAsia="Times New Roman" w:hAnsi="Calibri" w:cs="Calibri"/>
          <w:lang w:eastAsia="fr-FR"/>
        </w:rPr>
        <w:t xml:space="preserve"> ont des difficultés à porter plainte, ne sont pas crues, et ne trouvent pas de centres d'hébergement d'urgence accessibles.</w:t>
      </w:r>
    </w:p>
    <w:p w:rsidR="004654EE" w:rsidRPr="000C5A1F" w:rsidRDefault="004654EE" w:rsidP="004654EE">
      <w:pPr>
        <w:spacing w:after="20" w:line="240" w:lineRule="auto"/>
        <w:jc w:val="both"/>
        <w:rPr>
          <w:rFonts w:ascii="Times New Roman" w:eastAsia="Times New Roman" w:hAnsi="Times New Roman" w:cs="Times New Roman"/>
          <w:lang w:eastAsia="fr-FR"/>
        </w:rPr>
      </w:pPr>
    </w:p>
    <w:p w:rsidR="00B35863" w:rsidRPr="004654EE" w:rsidRDefault="00B35863" w:rsidP="009A5CDE">
      <w:pPr>
        <w:numPr>
          <w:ilvl w:val="0"/>
          <w:numId w:val="6"/>
        </w:numPr>
        <w:spacing w:after="20" w:line="240" w:lineRule="auto"/>
        <w:jc w:val="both"/>
        <w:rPr>
          <w:rFonts w:ascii="Times New Roman" w:eastAsia="Times New Roman" w:hAnsi="Times New Roman" w:cs="Times New Roman"/>
          <w:lang w:eastAsia="fr-FR"/>
        </w:rPr>
      </w:pPr>
      <w:r w:rsidRPr="000C5A1F">
        <w:rPr>
          <w:rFonts w:eastAsia="Times New Roman" w:cstheme="minorHAnsi"/>
          <w:lang w:eastAsia="fr-FR"/>
        </w:rPr>
        <w:t>L’existence de stéréotypes</w:t>
      </w:r>
      <w:r w:rsidRPr="000C5A1F">
        <w:rPr>
          <w:rFonts w:ascii="Calibri" w:eastAsia="Times New Roman" w:hAnsi="Calibri" w:cs="Calibri"/>
          <w:lang w:eastAsia="fr-FR"/>
        </w:rPr>
        <w:t xml:space="preserve"> freine </w:t>
      </w:r>
      <w:r w:rsidR="001F5320">
        <w:rPr>
          <w:rFonts w:ascii="Calibri" w:eastAsia="Times New Roman" w:hAnsi="Calibri" w:cs="Calibri"/>
          <w:lang w:eastAsia="fr-FR"/>
        </w:rPr>
        <w:t xml:space="preserve">d’autant plus </w:t>
      </w:r>
      <w:r w:rsidRPr="00952F51">
        <w:rPr>
          <w:rFonts w:ascii="Calibri" w:eastAsia="Times New Roman" w:hAnsi="Calibri" w:cs="Calibri"/>
          <w:bCs/>
          <w:lang w:eastAsia="fr-FR"/>
        </w:rPr>
        <w:t>l’accès des femmes handicapées à</w:t>
      </w:r>
      <w:r w:rsidRPr="000C5A1F">
        <w:rPr>
          <w:rFonts w:ascii="Calibri" w:eastAsia="Times New Roman" w:hAnsi="Calibri" w:cs="Calibri"/>
          <w:b/>
          <w:bCs/>
          <w:lang w:eastAsia="fr-FR"/>
        </w:rPr>
        <w:t xml:space="preserve"> l’emploi,</w:t>
      </w:r>
      <w:r w:rsidRPr="000C5A1F">
        <w:rPr>
          <w:rFonts w:ascii="Calibri" w:eastAsia="Times New Roman" w:hAnsi="Calibri" w:cs="Calibri"/>
          <w:lang w:eastAsia="fr-FR"/>
        </w:rPr>
        <w:t xml:space="preserve"> considéré pour elles comme une « occupation » et non une nécessité. Elles ont une formation initiale souvent tronquée et sont orientées de manière encore plus stéréotypée </w:t>
      </w:r>
      <w:r w:rsidR="001F5320">
        <w:rPr>
          <w:rFonts w:ascii="Calibri" w:eastAsia="Times New Roman" w:hAnsi="Calibri" w:cs="Calibri"/>
          <w:lang w:eastAsia="fr-FR"/>
        </w:rPr>
        <w:t xml:space="preserve">que les hommes </w:t>
      </w:r>
      <w:r w:rsidRPr="000C5A1F">
        <w:rPr>
          <w:rFonts w:ascii="Calibri" w:eastAsia="Times New Roman" w:hAnsi="Calibri" w:cs="Calibri"/>
          <w:lang w:eastAsia="fr-FR"/>
        </w:rPr>
        <w:t xml:space="preserve">vers des métiers dits « féminins ». </w:t>
      </w:r>
      <w:r w:rsidR="004654EE">
        <w:rPr>
          <w:rFonts w:ascii="Calibri" w:eastAsia="Times New Roman" w:hAnsi="Calibri" w:cs="Calibri"/>
          <w:lang w:eastAsia="fr-FR"/>
        </w:rPr>
        <w:t>S</w:t>
      </w:r>
      <w:r w:rsidR="00197109" w:rsidRPr="000C5A1F">
        <w:rPr>
          <w:rFonts w:ascii="Calibri" w:eastAsia="Times New Roman" w:hAnsi="Calibri" w:cs="Calibri"/>
          <w:lang w:eastAsia="fr-FR"/>
        </w:rPr>
        <w:t>ouvent sous-employées</w:t>
      </w:r>
      <w:r w:rsidR="00197109">
        <w:rPr>
          <w:rFonts w:ascii="Calibri" w:eastAsia="Times New Roman" w:hAnsi="Calibri" w:cs="Calibri"/>
          <w:lang w:eastAsia="fr-FR"/>
        </w:rPr>
        <w:t>, l</w:t>
      </w:r>
      <w:r w:rsidRPr="000C5A1F">
        <w:rPr>
          <w:rFonts w:ascii="Calibri" w:eastAsia="Times New Roman" w:hAnsi="Calibri" w:cs="Calibri"/>
          <w:lang w:eastAsia="fr-FR"/>
        </w:rPr>
        <w:t>eur carrière est chaotique, dans des e</w:t>
      </w:r>
      <w:r w:rsidR="00197109">
        <w:rPr>
          <w:rFonts w:ascii="Calibri" w:eastAsia="Times New Roman" w:hAnsi="Calibri" w:cs="Calibri"/>
          <w:lang w:eastAsia="fr-FR"/>
        </w:rPr>
        <w:t xml:space="preserve">mplois précaires, mal rémunérés, </w:t>
      </w:r>
      <w:r w:rsidRPr="000C5A1F">
        <w:rPr>
          <w:rFonts w:ascii="Calibri" w:eastAsia="Times New Roman" w:hAnsi="Calibri" w:cs="Calibri"/>
          <w:lang w:eastAsia="fr-FR"/>
        </w:rPr>
        <w:t>s</w:t>
      </w:r>
      <w:r w:rsidR="00197109">
        <w:rPr>
          <w:rFonts w:ascii="Calibri" w:eastAsia="Times New Roman" w:hAnsi="Calibri" w:cs="Calibri"/>
          <w:lang w:eastAsia="fr-FR"/>
        </w:rPr>
        <w:t>ans perspectives</w:t>
      </w:r>
      <w:r w:rsidRPr="000C5A1F">
        <w:rPr>
          <w:rFonts w:ascii="Calibri" w:eastAsia="Times New Roman" w:hAnsi="Calibri" w:cs="Calibri"/>
          <w:lang w:eastAsia="fr-FR"/>
        </w:rPr>
        <w:t>, et se heurtent encor</w:t>
      </w:r>
      <w:r w:rsidR="001F5320">
        <w:rPr>
          <w:rFonts w:ascii="Calibri" w:eastAsia="Times New Roman" w:hAnsi="Calibri" w:cs="Calibri"/>
          <w:lang w:eastAsia="fr-FR"/>
        </w:rPr>
        <w:t xml:space="preserve">e plus au « plafond de verre », engendrant un risque de pauvreté majeur. </w:t>
      </w:r>
    </w:p>
    <w:p w:rsidR="004654EE" w:rsidRPr="000C5A1F" w:rsidRDefault="004654EE" w:rsidP="004654EE">
      <w:pPr>
        <w:spacing w:after="20" w:line="240" w:lineRule="auto"/>
        <w:jc w:val="both"/>
        <w:rPr>
          <w:rFonts w:ascii="Times New Roman" w:eastAsia="Times New Roman" w:hAnsi="Times New Roman" w:cs="Times New Roman"/>
          <w:lang w:eastAsia="fr-FR"/>
        </w:rPr>
      </w:pPr>
    </w:p>
    <w:p w:rsidR="00B35863" w:rsidRPr="000C5A1F" w:rsidRDefault="00B35863" w:rsidP="009A5CDE">
      <w:pPr>
        <w:numPr>
          <w:ilvl w:val="0"/>
          <w:numId w:val="6"/>
        </w:numPr>
        <w:spacing w:after="20" w:line="240" w:lineRule="auto"/>
        <w:jc w:val="both"/>
        <w:rPr>
          <w:rFonts w:ascii="Times New Roman" w:eastAsia="Times New Roman" w:hAnsi="Times New Roman" w:cs="Times New Roman"/>
          <w:lang w:eastAsia="fr-FR"/>
        </w:rPr>
      </w:pPr>
      <w:r w:rsidRPr="000C5A1F">
        <w:rPr>
          <w:rFonts w:eastAsia="Times New Roman" w:cstheme="minorHAnsi"/>
          <w:lang w:eastAsia="fr-FR"/>
        </w:rPr>
        <w:t xml:space="preserve">Au sein des </w:t>
      </w:r>
      <w:r w:rsidRPr="00931C3C">
        <w:rPr>
          <w:rFonts w:eastAsia="Times New Roman" w:cstheme="minorHAnsi"/>
          <w:b/>
          <w:lang w:eastAsia="fr-FR"/>
        </w:rPr>
        <w:t>instances représentatives et décisionnaires</w:t>
      </w:r>
      <w:r w:rsidRPr="000C5A1F">
        <w:rPr>
          <w:rFonts w:eastAsia="Times New Roman" w:cstheme="minorHAnsi"/>
          <w:lang w:eastAsia="fr-FR"/>
        </w:rPr>
        <w:t>,</w:t>
      </w:r>
      <w:r w:rsidRPr="000C5A1F">
        <w:rPr>
          <w:rFonts w:ascii="Times New Roman" w:eastAsia="Times New Roman" w:hAnsi="Times New Roman" w:cs="Times New Roman"/>
          <w:lang w:eastAsia="fr-FR"/>
        </w:rPr>
        <w:t xml:space="preserve"> </w:t>
      </w:r>
      <w:r w:rsidRPr="00931C3C">
        <w:rPr>
          <w:rFonts w:ascii="Calibri" w:eastAsia="Times New Roman" w:hAnsi="Calibri" w:cs="Calibri"/>
          <w:bCs/>
          <w:lang w:eastAsia="fr-FR"/>
        </w:rPr>
        <w:t>l’absence</w:t>
      </w:r>
      <w:r w:rsidRPr="000C5A1F">
        <w:rPr>
          <w:rFonts w:ascii="Calibri" w:eastAsia="Times New Roman" w:hAnsi="Calibri" w:cs="Calibri"/>
          <w:b/>
          <w:bCs/>
          <w:lang w:eastAsia="fr-FR"/>
        </w:rPr>
        <w:t xml:space="preserve"> </w:t>
      </w:r>
      <w:r w:rsidRPr="00931C3C">
        <w:rPr>
          <w:rFonts w:ascii="Calibri" w:eastAsia="Times New Roman" w:hAnsi="Calibri" w:cs="Calibri"/>
          <w:bCs/>
          <w:lang w:eastAsia="fr-FR"/>
        </w:rPr>
        <w:t xml:space="preserve">des femmes </w:t>
      </w:r>
      <w:r w:rsidRPr="00931C3C">
        <w:rPr>
          <w:rFonts w:ascii="Calibri" w:eastAsia="Times New Roman" w:hAnsi="Calibri" w:cs="Calibri"/>
          <w:lang w:eastAsia="fr-FR"/>
        </w:rPr>
        <w:t>handicapées</w:t>
      </w:r>
      <w:r w:rsidRPr="000C5A1F">
        <w:rPr>
          <w:rFonts w:ascii="Calibri" w:eastAsia="Times New Roman" w:hAnsi="Calibri" w:cs="Calibri"/>
          <w:lang w:eastAsia="fr-FR"/>
        </w:rPr>
        <w:t>, malgré quelques mesures récentes (introduction de la parité au Conseil national consult</w:t>
      </w:r>
      <w:r w:rsidR="00D14CF4">
        <w:rPr>
          <w:rFonts w:ascii="Calibri" w:eastAsia="Times New Roman" w:hAnsi="Calibri" w:cs="Calibri"/>
          <w:lang w:eastAsia="fr-FR"/>
        </w:rPr>
        <w:t>atif des personnes handicapées,</w:t>
      </w:r>
      <w:r w:rsidRPr="000C5A1F">
        <w:rPr>
          <w:rFonts w:ascii="Calibri" w:eastAsia="Times New Roman" w:hAnsi="Calibri" w:cs="Calibri"/>
          <w:lang w:eastAsia="fr-FR"/>
        </w:rPr>
        <w:t xml:space="preserve"> CNCPH),</w:t>
      </w:r>
      <w:r w:rsidR="00626304">
        <w:rPr>
          <w:rFonts w:ascii="Calibri" w:eastAsia="Times New Roman" w:hAnsi="Calibri" w:cs="Calibri"/>
          <w:lang w:eastAsia="fr-FR"/>
        </w:rPr>
        <w:t xml:space="preserve"> </w:t>
      </w:r>
      <w:r w:rsidR="00626304">
        <w:t>entraine un oubli de la prise en compte de leurs besoins spécifiques par de</w:t>
      </w:r>
      <w:r w:rsidRPr="000C5A1F">
        <w:rPr>
          <w:rFonts w:ascii="Calibri" w:eastAsia="Times New Roman" w:hAnsi="Calibri" w:cs="Calibri"/>
          <w:lang w:eastAsia="fr-FR"/>
        </w:rPr>
        <w:t xml:space="preserve"> nombreuses associations.</w:t>
      </w:r>
    </w:p>
    <w:tbl>
      <w:tblPr>
        <w:tblStyle w:val="GridTable1Light-Accent1"/>
        <w:tblW w:w="0" w:type="auto"/>
        <w:tblLook w:val="04A0" w:firstRow="1" w:lastRow="0" w:firstColumn="1" w:lastColumn="0" w:noHBand="0" w:noVBand="1"/>
      </w:tblPr>
      <w:tblGrid>
        <w:gridCol w:w="9001"/>
      </w:tblGrid>
      <w:tr w:rsidR="00C9602A" w:rsidTr="00654B03">
        <w:trPr>
          <w:cnfStyle w:val="100000000000" w:firstRow="1" w:lastRow="0" w:firstColumn="0" w:lastColumn="0" w:oddVBand="0" w:evenVBand="0" w:oddHBand="0" w:evenHBand="0" w:firstRowFirstColumn="0" w:firstRowLastColumn="0" w:lastRowFirstColumn="0" w:lastRowLastColumn="0"/>
          <w:trHeight w:val="6081"/>
        </w:trPr>
        <w:tc>
          <w:tcPr>
            <w:cnfStyle w:val="001000000000" w:firstRow="0" w:lastRow="0" w:firstColumn="1" w:lastColumn="0" w:oddVBand="0" w:evenVBand="0" w:oddHBand="0" w:evenHBand="0" w:firstRowFirstColumn="0" w:firstRowLastColumn="0" w:lastRowFirstColumn="0" w:lastRowLastColumn="0"/>
            <w:tcW w:w="9001" w:type="dxa"/>
            <w:shd w:val="clear" w:color="auto" w:fill="F2F7FC"/>
          </w:tcPr>
          <w:p w:rsidR="004654EE" w:rsidRDefault="00C9602A" w:rsidP="004654EE">
            <w:pPr>
              <w:pStyle w:val="Heading7"/>
              <w:spacing w:before="0" w:after="20" w:line="259" w:lineRule="auto"/>
              <w:outlineLvl w:val="6"/>
              <w:rPr>
                <w:rStyle w:val="Emphasis"/>
                <w:b w:val="0"/>
                <w:i/>
              </w:rPr>
            </w:pPr>
            <w:r w:rsidRPr="00852A9B">
              <w:rPr>
                <w:rStyle w:val="Emphasis"/>
                <w:i/>
                <w:iCs/>
              </w:rPr>
              <w:lastRenderedPageBreak/>
              <w:t>Recommandations</w:t>
            </w:r>
            <w:r w:rsidRPr="00723BD1">
              <w:rPr>
                <w:rStyle w:val="Emphasis"/>
                <w:b w:val="0"/>
                <w:i/>
              </w:rPr>
              <w:t> </w:t>
            </w:r>
          </w:p>
          <w:p w:rsidR="004654EE" w:rsidRPr="004654EE" w:rsidRDefault="004654EE" w:rsidP="00B1229B">
            <w:pPr>
              <w:spacing w:after="20"/>
              <w:rPr>
                <w:lang w:eastAsia="en-GB"/>
              </w:rPr>
            </w:pPr>
          </w:p>
          <w:p w:rsidR="00C9602A" w:rsidRPr="000C5A1F" w:rsidRDefault="00C9602A" w:rsidP="00291ED1">
            <w:pPr>
              <w:numPr>
                <w:ilvl w:val="0"/>
                <w:numId w:val="5"/>
              </w:numPr>
              <w:spacing w:after="20" w:line="276" w:lineRule="auto"/>
              <w:ind w:left="714" w:right="104" w:hanging="357"/>
              <w:jc w:val="both"/>
              <w:rPr>
                <w:rFonts w:eastAsia="Times New Roman" w:cstheme="minorHAnsi"/>
                <w:b w:val="0"/>
                <w:lang w:eastAsia="fr-FR"/>
              </w:rPr>
            </w:pPr>
            <w:r w:rsidRPr="000C5A1F">
              <w:rPr>
                <w:rFonts w:eastAsia="Times New Roman" w:cstheme="minorHAnsi"/>
                <w:lang w:eastAsia="fr-FR"/>
              </w:rPr>
              <w:t xml:space="preserve">Genrer toutes les données et les statistiques concernant les personnes </w:t>
            </w:r>
            <w:r w:rsidR="00796572">
              <w:rPr>
                <w:rFonts w:eastAsia="Times New Roman" w:cstheme="minorHAnsi"/>
                <w:lang w:eastAsia="fr-FR"/>
              </w:rPr>
              <w:t xml:space="preserve">en situation de </w:t>
            </w:r>
            <w:r w:rsidRPr="000C5A1F">
              <w:rPr>
                <w:rFonts w:eastAsia="Times New Roman" w:cstheme="minorHAnsi"/>
                <w:lang w:eastAsia="fr-FR"/>
              </w:rPr>
              <w:t>handicap.</w:t>
            </w:r>
          </w:p>
          <w:p w:rsidR="00C9602A" w:rsidRPr="000C5A1F" w:rsidRDefault="00C9602A" w:rsidP="00291ED1">
            <w:pPr>
              <w:numPr>
                <w:ilvl w:val="0"/>
                <w:numId w:val="5"/>
              </w:numPr>
              <w:spacing w:after="20" w:line="276" w:lineRule="auto"/>
              <w:ind w:left="714" w:right="104" w:hanging="357"/>
              <w:jc w:val="both"/>
              <w:rPr>
                <w:rFonts w:eastAsia="Times New Roman" w:cstheme="minorHAnsi"/>
                <w:b w:val="0"/>
                <w:lang w:eastAsia="fr-FR"/>
              </w:rPr>
            </w:pPr>
            <w:r w:rsidRPr="000C5A1F">
              <w:rPr>
                <w:rFonts w:eastAsia="Times New Roman" w:cstheme="minorHAnsi"/>
                <w:lang w:eastAsia="fr-FR"/>
              </w:rPr>
              <w:t>Former les professionnels accompagnant</w:t>
            </w:r>
            <w:r w:rsidR="001D6234">
              <w:rPr>
                <w:rFonts w:eastAsia="Times New Roman" w:cstheme="minorHAnsi"/>
                <w:lang w:eastAsia="fr-FR"/>
              </w:rPr>
              <w:t>s</w:t>
            </w:r>
            <w:r w:rsidR="00A00F3A">
              <w:rPr>
                <w:rFonts w:eastAsia="Times New Roman" w:cstheme="minorHAnsi"/>
                <w:lang w:eastAsia="fr-FR"/>
              </w:rPr>
              <w:t xml:space="preserve"> : </w:t>
            </w:r>
            <w:r w:rsidRPr="000C5A1F">
              <w:rPr>
                <w:rFonts w:eastAsia="Times New Roman" w:cstheme="minorHAnsi"/>
                <w:lang w:eastAsia="fr-FR"/>
              </w:rPr>
              <w:t>personnels de santé, centres d’accueil, assistant</w:t>
            </w:r>
            <w:r w:rsidR="00A43B18">
              <w:rPr>
                <w:rFonts w:eastAsia="Times New Roman" w:cstheme="minorHAnsi"/>
                <w:lang w:eastAsia="fr-FR"/>
              </w:rPr>
              <w:t>s</w:t>
            </w:r>
            <w:r w:rsidRPr="000C5A1F">
              <w:rPr>
                <w:rFonts w:eastAsia="Times New Roman" w:cstheme="minorHAnsi"/>
                <w:lang w:eastAsia="fr-FR"/>
              </w:rPr>
              <w:t xml:space="preserve"> soci</w:t>
            </w:r>
            <w:r w:rsidR="00A43B18">
              <w:rPr>
                <w:rFonts w:eastAsia="Times New Roman" w:cstheme="minorHAnsi"/>
                <w:lang w:eastAsia="fr-FR"/>
              </w:rPr>
              <w:t>a</w:t>
            </w:r>
            <w:r w:rsidRPr="000C5A1F">
              <w:rPr>
                <w:rFonts w:eastAsia="Times New Roman" w:cstheme="minorHAnsi"/>
                <w:lang w:eastAsia="fr-FR"/>
              </w:rPr>
              <w:t xml:space="preserve">ux, enseignants, services de l'emploi, </w:t>
            </w:r>
            <w:r w:rsidR="004654EE">
              <w:rPr>
                <w:rFonts w:eastAsia="Times New Roman" w:cstheme="minorHAnsi"/>
                <w:lang w:eastAsia="fr-FR"/>
              </w:rPr>
              <w:t>juges des tutelles.</w:t>
            </w:r>
          </w:p>
          <w:p w:rsidR="00C9602A" w:rsidRPr="002705E9" w:rsidRDefault="00C9602A" w:rsidP="00291ED1">
            <w:pPr>
              <w:numPr>
                <w:ilvl w:val="0"/>
                <w:numId w:val="5"/>
              </w:numPr>
              <w:spacing w:after="20" w:line="276" w:lineRule="auto"/>
              <w:ind w:left="714" w:right="104" w:hanging="357"/>
              <w:jc w:val="both"/>
              <w:rPr>
                <w:rFonts w:eastAsia="Times New Roman" w:cstheme="minorHAnsi"/>
                <w:b w:val="0"/>
                <w:lang w:eastAsia="fr-FR"/>
              </w:rPr>
            </w:pPr>
            <w:r w:rsidRPr="000C5A1F">
              <w:rPr>
                <w:rFonts w:eastAsia="Times New Roman" w:cstheme="minorHAnsi"/>
                <w:lang w:eastAsia="fr-FR"/>
              </w:rPr>
              <w:t xml:space="preserve">Fournir une éducation à la sexualité aux </w:t>
            </w:r>
            <w:r w:rsidR="00A00F3A">
              <w:rPr>
                <w:rFonts w:eastAsia="Times New Roman" w:cstheme="minorHAnsi"/>
                <w:lang w:eastAsia="fr-FR"/>
              </w:rPr>
              <w:t>filles et aux femmes</w:t>
            </w:r>
            <w:r w:rsidRPr="000C5A1F">
              <w:rPr>
                <w:rFonts w:eastAsia="Times New Roman" w:cstheme="minorHAnsi"/>
                <w:lang w:eastAsia="fr-FR"/>
              </w:rPr>
              <w:t xml:space="preserve"> </w:t>
            </w:r>
            <w:r w:rsidRPr="00A00F3A">
              <w:rPr>
                <w:rFonts w:eastAsia="Times New Roman" w:cstheme="minorHAnsi"/>
                <w:lang w:eastAsia="fr-FR"/>
              </w:rPr>
              <w:t>handicapé</w:t>
            </w:r>
            <w:r w:rsidR="00A00F3A" w:rsidRPr="00A00F3A">
              <w:rPr>
                <w:rFonts w:eastAsia="Times New Roman" w:cstheme="minorHAnsi"/>
                <w:lang w:eastAsia="fr-FR"/>
              </w:rPr>
              <w:t>e</w:t>
            </w:r>
            <w:r w:rsidRPr="00A00F3A">
              <w:rPr>
                <w:rFonts w:eastAsia="Times New Roman" w:cstheme="minorHAnsi"/>
                <w:lang w:eastAsia="fr-FR"/>
              </w:rPr>
              <w:t>s</w:t>
            </w:r>
            <w:r w:rsidRPr="000C5A1F">
              <w:rPr>
                <w:rFonts w:eastAsia="Times New Roman" w:cstheme="minorHAnsi"/>
                <w:lang w:eastAsia="fr-FR"/>
              </w:rPr>
              <w:t>, dans tous les milieux</w:t>
            </w:r>
            <w:r w:rsidR="00D96EA7">
              <w:rPr>
                <w:rFonts w:eastAsia="Times New Roman" w:cstheme="minorHAnsi"/>
                <w:lang w:eastAsia="fr-FR"/>
              </w:rPr>
              <w:t xml:space="preserve">, </w:t>
            </w:r>
            <w:r w:rsidRPr="000C5A1F">
              <w:rPr>
                <w:rFonts w:eastAsia="Times New Roman" w:cstheme="minorHAnsi"/>
                <w:lang w:eastAsia="fr-FR"/>
              </w:rPr>
              <w:t>notamment à l’école et dans les</w:t>
            </w:r>
            <w:r w:rsidR="00D14CF4">
              <w:rPr>
                <w:rFonts w:eastAsia="Times New Roman" w:cstheme="minorHAnsi"/>
                <w:lang w:eastAsia="fr-FR"/>
              </w:rPr>
              <w:t xml:space="preserve"> instituts médico-éducatifs</w:t>
            </w:r>
            <w:r w:rsidRPr="000C5A1F">
              <w:rPr>
                <w:rFonts w:eastAsia="Times New Roman" w:cstheme="minorHAnsi"/>
                <w:lang w:eastAsia="fr-FR"/>
              </w:rPr>
              <w:t xml:space="preserve"> </w:t>
            </w:r>
            <w:r w:rsidR="005328B3">
              <w:rPr>
                <w:rFonts w:eastAsia="Times New Roman" w:cstheme="minorHAnsi"/>
                <w:lang w:eastAsia="fr-FR"/>
              </w:rPr>
              <w:t>(</w:t>
            </w:r>
            <w:r w:rsidRPr="000C5A1F">
              <w:rPr>
                <w:rFonts w:eastAsia="Times New Roman" w:cstheme="minorHAnsi"/>
                <w:lang w:eastAsia="fr-FR"/>
              </w:rPr>
              <w:t>IME</w:t>
            </w:r>
            <w:r w:rsidR="005328B3">
              <w:rPr>
                <w:rFonts w:eastAsia="Times New Roman" w:cstheme="minorHAnsi"/>
                <w:lang w:eastAsia="fr-FR"/>
              </w:rPr>
              <w:t>)</w:t>
            </w:r>
            <w:r w:rsidR="00D96EA7">
              <w:rPr>
                <w:rFonts w:eastAsia="Times New Roman" w:cstheme="minorHAnsi"/>
                <w:lang w:eastAsia="fr-FR"/>
              </w:rPr>
              <w:t>,</w:t>
            </w:r>
            <w:r w:rsidRPr="000C5A1F">
              <w:rPr>
                <w:rFonts w:eastAsia="Times New Roman" w:cstheme="minorHAnsi"/>
                <w:lang w:eastAsia="fr-FR"/>
              </w:rPr>
              <w:t xml:space="preserve"> en </w:t>
            </w:r>
            <w:r w:rsidR="001D6234">
              <w:rPr>
                <w:rFonts w:eastAsia="Times New Roman" w:cstheme="minorHAnsi"/>
                <w:lang w:eastAsia="fr-FR"/>
              </w:rPr>
              <w:t>c</w:t>
            </w:r>
            <w:r w:rsidRPr="000C5A1F">
              <w:rPr>
                <w:rFonts w:eastAsia="Times New Roman" w:cstheme="minorHAnsi"/>
                <w:lang w:eastAsia="fr-FR"/>
              </w:rPr>
              <w:t xml:space="preserve">ouvrant largement </w:t>
            </w:r>
            <w:r w:rsidR="001D6234">
              <w:rPr>
                <w:rFonts w:eastAsia="Times New Roman" w:cstheme="minorHAnsi"/>
                <w:lang w:eastAsia="fr-FR"/>
              </w:rPr>
              <w:t xml:space="preserve">toutes les problématiques : </w:t>
            </w:r>
            <w:r w:rsidRPr="000C5A1F">
              <w:rPr>
                <w:rFonts w:eastAsia="Times New Roman" w:cstheme="minorHAnsi"/>
                <w:lang w:eastAsia="fr-FR"/>
              </w:rPr>
              <w:t xml:space="preserve">contraception, prévention, maternité, </w:t>
            </w:r>
            <w:r w:rsidR="002705E9">
              <w:rPr>
                <w:rFonts w:eastAsia="Times New Roman" w:cstheme="minorHAnsi"/>
                <w:lang w:eastAsia="fr-FR"/>
              </w:rPr>
              <w:t>interruption volontaire de grossesses</w:t>
            </w:r>
            <w:r w:rsidRPr="002705E9">
              <w:rPr>
                <w:rFonts w:eastAsia="Times New Roman" w:cstheme="minorHAnsi"/>
                <w:lang w:eastAsia="fr-FR"/>
              </w:rPr>
              <w:t>.</w:t>
            </w:r>
          </w:p>
          <w:p w:rsidR="00C9602A" w:rsidRPr="000C5A1F" w:rsidRDefault="00C9602A" w:rsidP="00291ED1">
            <w:pPr>
              <w:numPr>
                <w:ilvl w:val="0"/>
                <w:numId w:val="5"/>
              </w:numPr>
              <w:spacing w:after="20" w:line="276" w:lineRule="auto"/>
              <w:ind w:left="714" w:right="104" w:hanging="357"/>
              <w:jc w:val="both"/>
              <w:rPr>
                <w:rFonts w:eastAsia="Times New Roman" w:cstheme="minorHAnsi"/>
                <w:b w:val="0"/>
                <w:lang w:eastAsia="fr-FR"/>
              </w:rPr>
            </w:pPr>
            <w:r w:rsidRPr="000C5A1F">
              <w:rPr>
                <w:rFonts w:eastAsia="Times New Roman" w:cstheme="minorHAnsi"/>
                <w:lang w:eastAsia="fr-FR"/>
              </w:rPr>
              <w:t>Développer les services d’accompagnement à</w:t>
            </w:r>
            <w:r w:rsidR="002705E9">
              <w:rPr>
                <w:rFonts w:eastAsia="Times New Roman" w:cstheme="minorHAnsi"/>
                <w:lang w:eastAsia="fr-FR"/>
              </w:rPr>
              <w:t xml:space="preserve"> la grossesse et à la maternité.</w:t>
            </w:r>
          </w:p>
          <w:p w:rsidR="00C9602A" w:rsidRPr="000C5A1F" w:rsidRDefault="00A00F3A" w:rsidP="00291ED1">
            <w:pPr>
              <w:numPr>
                <w:ilvl w:val="0"/>
                <w:numId w:val="5"/>
              </w:numPr>
              <w:spacing w:after="20" w:line="276" w:lineRule="auto"/>
              <w:ind w:left="714" w:right="104" w:hanging="357"/>
              <w:jc w:val="both"/>
              <w:rPr>
                <w:rFonts w:eastAsia="Times New Roman" w:cstheme="minorHAnsi"/>
                <w:b w:val="0"/>
                <w:lang w:eastAsia="fr-FR"/>
              </w:rPr>
            </w:pPr>
            <w:r>
              <w:rPr>
                <w:rFonts w:eastAsia="Times New Roman" w:cstheme="minorHAnsi"/>
                <w:lang w:eastAsia="fr-FR"/>
              </w:rPr>
              <w:t>A</w:t>
            </w:r>
            <w:r w:rsidR="00C9602A" w:rsidRPr="000C5A1F">
              <w:rPr>
                <w:rFonts w:eastAsia="Times New Roman" w:cstheme="minorHAnsi"/>
                <w:lang w:eastAsia="fr-FR"/>
              </w:rPr>
              <w:t xml:space="preserve">ccompagner les femmes </w:t>
            </w:r>
            <w:r>
              <w:rPr>
                <w:rFonts w:eastAsia="Times New Roman" w:cstheme="minorHAnsi"/>
                <w:lang w:eastAsia="fr-FR"/>
              </w:rPr>
              <w:t xml:space="preserve">handicapées </w:t>
            </w:r>
            <w:r w:rsidR="00C9602A" w:rsidRPr="000C5A1F">
              <w:rPr>
                <w:rFonts w:eastAsia="Times New Roman" w:cstheme="minorHAnsi"/>
                <w:lang w:eastAsia="fr-FR"/>
              </w:rPr>
              <w:t xml:space="preserve">vivant des violences pour qu’elles puissent sortir de l'emprise, porter plainte, se reconstruire </w:t>
            </w:r>
            <w:r>
              <w:rPr>
                <w:rFonts w:eastAsia="Times New Roman" w:cstheme="minorHAnsi"/>
                <w:lang w:eastAsia="fr-FR"/>
              </w:rPr>
              <w:t xml:space="preserve">et </w:t>
            </w:r>
            <w:r w:rsidR="00C9602A" w:rsidRPr="000C5A1F">
              <w:rPr>
                <w:rFonts w:eastAsia="Times New Roman" w:cstheme="minorHAnsi"/>
                <w:lang w:eastAsia="fr-FR"/>
              </w:rPr>
              <w:t xml:space="preserve">les inclure dans les campagnes d’information et de sensibilisation de lutte contre </w:t>
            </w:r>
            <w:r w:rsidR="002705E9">
              <w:rPr>
                <w:rFonts w:eastAsia="Times New Roman" w:cstheme="minorHAnsi"/>
                <w:lang w:eastAsia="fr-FR"/>
              </w:rPr>
              <w:t>les violences faites aux femmes.</w:t>
            </w:r>
          </w:p>
          <w:p w:rsidR="00C9602A" w:rsidRPr="000C5A1F" w:rsidRDefault="00C9602A" w:rsidP="00291ED1">
            <w:pPr>
              <w:numPr>
                <w:ilvl w:val="0"/>
                <w:numId w:val="5"/>
              </w:numPr>
              <w:spacing w:after="20" w:line="276" w:lineRule="auto"/>
              <w:ind w:left="714" w:right="104" w:hanging="357"/>
              <w:jc w:val="both"/>
              <w:rPr>
                <w:rFonts w:eastAsia="Times New Roman" w:cstheme="minorHAnsi"/>
                <w:lang w:eastAsia="fr-FR"/>
              </w:rPr>
            </w:pPr>
            <w:r w:rsidRPr="000C5A1F">
              <w:rPr>
                <w:rFonts w:eastAsia="Times New Roman" w:cstheme="minorHAnsi"/>
                <w:lang w:eastAsia="fr-FR"/>
              </w:rPr>
              <w:t xml:space="preserve">Assurer une éducation diversifiée et une formation </w:t>
            </w:r>
            <w:r w:rsidR="001D6234">
              <w:rPr>
                <w:rFonts w:eastAsia="Times New Roman" w:cstheme="minorHAnsi"/>
                <w:lang w:eastAsia="fr-FR"/>
              </w:rPr>
              <w:t>professionnelle</w:t>
            </w:r>
            <w:r w:rsidRPr="000C5A1F">
              <w:rPr>
                <w:rFonts w:eastAsia="Times New Roman" w:cstheme="minorHAnsi"/>
                <w:lang w:eastAsia="fr-FR"/>
              </w:rPr>
              <w:t xml:space="preserve"> aux filles et femmes handicapées, respectant l'égalité filles-garçons.</w:t>
            </w:r>
          </w:p>
          <w:p w:rsidR="00C9602A" w:rsidRPr="000C5A1F" w:rsidRDefault="00C9602A" w:rsidP="00291ED1">
            <w:pPr>
              <w:numPr>
                <w:ilvl w:val="0"/>
                <w:numId w:val="5"/>
              </w:numPr>
              <w:spacing w:after="20" w:line="276" w:lineRule="auto"/>
              <w:ind w:left="714" w:right="104" w:hanging="357"/>
              <w:jc w:val="both"/>
              <w:rPr>
                <w:rFonts w:eastAsia="Times New Roman" w:cstheme="minorHAnsi"/>
                <w:lang w:eastAsia="fr-FR"/>
              </w:rPr>
            </w:pPr>
            <w:r w:rsidRPr="000C5A1F">
              <w:rPr>
                <w:rFonts w:eastAsia="Times New Roman" w:cstheme="minorHAnsi"/>
                <w:lang w:eastAsia="fr-FR"/>
              </w:rPr>
              <w:t>Instaurer une politique transversale pour l’égalité des femmes handicapées.</w:t>
            </w:r>
          </w:p>
          <w:p w:rsidR="00C9602A" w:rsidRPr="00654B03" w:rsidRDefault="00C9602A" w:rsidP="00291ED1">
            <w:pPr>
              <w:pStyle w:val="ListParagraph"/>
              <w:widowControl w:val="0"/>
              <w:numPr>
                <w:ilvl w:val="0"/>
                <w:numId w:val="5"/>
              </w:numPr>
              <w:tabs>
                <w:tab w:val="left" w:pos="8217"/>
              </w:tabs>
              <w:autoSpaceDE w:val="0"/>
              <w:autoSpaceDN w:val="0"/>
              <w:spacing w:after="20" w:line="276" w:lineRule="auto"/>
              <w:ind w:left="714" w:right="113" w:hanging="357"/>
              <w:contextualSpacing w:val="0"/>
              <w:jc w:val="both"/>
            </w:pPr>
            <w:r w:rsidRPr="000C5A1F">
              <w:rPr>
                <w:rFonts w:eastAsia="Times New Roman" w:cstheme="minorHAnsi"/>
                <w:lang w:eastAsia="fr-FR"/>
              </w:rPr>
              <w:t>Inclure les problématiques des femmes et des filles en situation de handicap dans les projets et réformes en cours, en les associant aux discussions au plus haut niveau ; notamment concernant les lois de bioéthique.</w:t>
            </w:r>
          </w:p>
          <w:p w:rsidR="00654B03" w:rsidRPr="00654B03" w:rsidRDefault="00654B03" w:rsidP="00654B03">
            <w:pPr>
              <w:widowControl w:val="0"/>
              <w:tabs>
                <w:tab w:val="left" w:pos="8217"/>
              </w:tabs>
              <w:autoSpaceDE w:val="0"/>
              <w:autoSpaceDN w:val="0"/>
              <w:spacing w:after="20"/>
              <w:ind w:left="357" w:right="113"/>
              <w:jc w:val="both"/>
            </w:pPr>
          </w:p>
        </w:tc>
      </w:tr>
    </w:tbl>
    <w:p w:rsidR="00B35863" w:rsidRPr="000C5A1F" w:rsidRDefault="00B35863" w:rsidP="00B35863">
      <w:pPr>
        <w:spacing w:before="100" w:beforeAutospacing="1" w:after="240" w:line="240" w:lineRule="auto"/>
        <w:jc w:val="both"/>
        <w:rPr>
          <w:rFonts w:ascii="Times New Roman" w:eastAsia="Times New Roman" w:hAnsi="Times New Roman" w:cs="Times New Roman"/>
          <w:lang w:eastAsia="fr-FR"/>
        </w:rPr>
      </w:pPr>
    </w:p>
    <w:p w:rsidR="00B35863" w:rsidRPr="00F97B21" w:rsidRDefault="00B35863" w:rsidP="00B35863">
      <w:pPr>
        <w:spacing w:before="100" w:beforeAutospacing="1" w:after="240" w:line="240" w:lineRule="auto"/>
        <w:jc w:val="both"/>
        <w:rPr>
          <w:rFonts w:ascii="Times New Roman" w:eastAsia="Times New Roman" w:hAnsi="Times New Roman" w:cs="Times New Roman"/>
          <w:sz w:val="24"/>
          <w:szCs w:val="24"/>
          <w:lang w:eastAsia="fr-FR"/>
        </w:rPr>
      </w:pPr>
      <w:bookmarkStart w:id="21" w:name="_Toc20128113"/>
      <w:bookmarkEnd w:id="21"/>
    </w:p>
    <w:p w:rsidR="00B35863" w:rsidRDefault="00B35863" w:rsidP="00F85197">
      <w:pPr>
        <w:spacing w:after="20"/>
      </w:pPr>
    </w:p>
    <w:p w:rsidR="00B35863" w:rsidRDefault="00B35863" w:rsidP="00F85197">
      <w:pPr>
        <w:spacing w:after="20"/>
      </w:pPr>
    </w:p>
    <w:p w:rsidR="00B35863" w:rsidRDefault="00B35863" w:rsidP="00F85197">
      <w:pPr>
        <w:spacing w:after="20"/>
      </w:pPr>
    </w:p>
    <w:p w:rsidR="003C44B3" w:rsidRDefault="003C44B3" w:rsidP="00F85197">
      <w:pPr>
        <w:spacing w:after="20"/>
        <w:rPr>
          <w:rFonts w:asciiTheme="majorHAnsi" w:eastAsiaTheme="majorEastAsia" w:hAnsiTheme="majorHAnsi" w:cstheme="majorBidi"/>
          <w:b/>
          <w:i/>
          <w:color w:val="2F5496" w:themeColor="accent5" w:themeShade="BF"/>
          <w:sz w:val="26"/>
          <w:lang w:eastAsia="en-GB"/>
        </w:rPr>
      </w:pPr>
      <w:r>
        <w:br w:type="page"/>
      </w:r>
    </w:p>
    <w:p w:rsidR="00E14192" w:rsidRDefault="00E14192" w:rsidP="007227BF">
      <w:pPr>
        <w:pStyle w:val="Heading3"/>
      </w:pPr>
      <w:bookmarkStart w:id="22" w:name="_Toc29546063"/>
      <w:r w:rsidRPr="00C31358">
        <w:lastRenderedPageBreak/>
        <w:t xml:space="preserve">Article 7 </w:t>
      </w:r>
      <w:r w:rsidR="00C4409C">
        <w:t>–</w:t>
      </w:r>
      <w:r w:rsidRPr="00C31358">
        <w:t xml:space="preserve"> Enfants handicapés</w:t>
      </w:r>
      <w:bookmarkEnd w:id="20"/>
      <w:bookmarkEnd w:id="22"/>
      <w:r>
        <w:t xml:space="preserve"> </w:t>
      </w:r>
    </w:p>
    <w:p w:rsidR="00B52799" w:rsidRDefault="00B52799" w:rsidP="00F85197">
      <w:pPr>
        <w:spacing w:after="20"/>
        <w:jc w:val="both"/>
      </w:pPr>
    </w:p>
    <w:p w:rsidR="0088331B" w:rsidRPr="000B589A" w:rsidRDefault="006407FB" w:rsidP="00F85197">
      <w:pPr>
        <w:spacing w:after="20"/>
        <w:jc w:val="both"/>
      </w:pPr>
      <w:r w:rsidRPr="000B589A">
        <w:t>La p</w:t>
      </w:r>
      <w:r w:rsidR="00E14192" w:rsidRPr="000B589A">
        <w:t xml:space="preserve">rotection des droits fondamentaux des enfants en situation de handicap s’effectue via une lecture </w:t>
      </w:r>
      <w:r w:rsidR="000C5A1F" w:rsidRPr="000B589A">
        <w:t>croisée entre l’article 7</w:t>
      </w:r>
      <w:r w:rsidR="00E14192" w:rsidRPr="000B589A">
        <w:t xml:space="preserve"> et les </w:t>
      </w:r>
      <w:r w:rsidR="00371CF0" w:rsidRPr="000B589A">
        <w:t>droits reconnus par la Convention Internationale des Droits de l’Enfant (CIDE)</w:t>
      </w:r>
      <w:r w:rsidR="00371CF0" w:rsidRPr="000B589A">
        <w:rPr>
          <w:rStyle w:val="EndnoteReference"/>
        </w:rPr>
        <w:endnoteReference w:id="14"/>
      </w:r>
      <w:r w:rsidR="00371CF0" w:rsidRPr="000B589A">
        <w:t xml:space="preserve">. </w:t>
      </w:r>
    </w:p>
    <w:p w:rsidR="00E14192" w:rsidRPr="007573BB" w:rsidRDefault="00E14192" w:rsidP="00F85197">
      <w:pPr>
        <w:spacing w:after="20"/>
        <w:jc w:val="both"/>
      </w:pPr>
    </w:p>
    <w:p w:rsidR="00E14192" w:rsidRDefault="00E14192" w:rsidP="00F85197">
      <w:pPr>
        <w:pStyle w:val="Heading4"/>
        <w:spacing w:before="0" w:after="20"/>
        <w:ind w:left="708"/>
      </w:pPr>
      <w:r w:rsidRPr="007A1AA5">
        <w:t xml:space="preserve">Le diagnostic </w:t>
      </w:r>
    </w:p>
    <w:p w:rsidR="0088331B" w:rsidRPr="00BE7A5B" w:rsidRDefault="0088331B" w:rsidP="00F85197">
      <w:pPr>
        <w:spacing w:after="20"/>
      </w:pPr>
    </w:p>
    <w:p w:rsidR="00E14192" w:rsidRPr="000B589A" w:rsidRDefault="00E14192" w:rsidP="00F85197">
      <w:pPr>
        <w:spacing w:after="20"/>
        <w:jc w:val="both"/>
      </w:pPr>
      <w:r w:rsidRPr="000B589A">
        <w:t xml:space="preserve">La </w:t>
      </w:r>
      <w:r w:rsidRPr="000B589A">
        <w:rPr>
          <w:b/>
        </w:rPr>
        <w:t xml:space="preserve">situation des enfants avec des troubles </w:t>
      </w:r>
      <w:r w:rsidR="002E79F4" w:rsidRPr="000B589A">
        <w:rPr>
          <w:b/>
        </w:rPr>
        <w:t>neuro-développementaux</w:t>
      </w:r>
      <w:r w:rsidRPr="000B589A">
        <w:t xml:space="preserve"> a longtemps été peu ou très mal connue en France, </w:t>
      </w:r>
      <w:r w:rsidR="002705E9" w:rsidRPr="000B589A">
        <w:t>excluant</w:t>
      </w:r>
      <w:r w:rsidRPr="000B589A">
        <w:t xml:space="preserve"> des enfants autistes des dispositif</w:t>
      </w:r>
      <w:r w:rsidR="002E79F4" w:rsidRPr="000B589A">
        <w:t xml:space="preserve">s de droit commun et </w:t>
      </w:r>
      <w:r w:rsidR="00F56625">
        <w:t xml:space="preserve">de l’offre </w:t>
      </w:r>
      <w:r w:rsidR="002E79F4" w:rsidRPr="000B589A">
        <w:t>spécialisé</w:t>
      </w:r>
      <w:r w:rsidR="00F56625">
        <w:t>e</w:t>
      </w:r>
      <w:r w:rsidR="002E79F4" w:rsidRPr="000B589A">
        <w:t>.</w:t>
      </w:r>
      <w:r w:rsidR="006307C7" w:rsidRPr="000B589A">
        <w:t xml:space="preserve"> </w:t>
      </w:r>
      <w:r w:rsidR="002E79F4" w:rsidRPr="000B589A">
        <w:t>L</w:t>
      </w:r>
      <w:r w:rsidR="006307C7" w:rsidRPr="000B589A">
        <w:t xml:space="preserve">es filles et les femmes autistes </w:t>
      </w:r>
      <w:r w:rsidR="002E79F4" w:rsidRPr="000B589A">
        <w:t>demeurent</w:t>
      </w:r>
      <w:r w:rsidR="006307C7" w:rsidRPr="000B589A">
        <w:t xml:space="preserve"> sous-diagnostiqué</w:t>
      </w:r>
      <w:r w:rsidR="000C29D5">
        <w:t>e</w:t>
      </w:r>
      <w:r w:rsidR="001D6234">
        <w:t xml:space="preserve">s par rapport aux hommes. </w:t>
      </w:r>
      <w:r w:rsidR="001D6234" w:rsidRPr="001D6234">
        <w:t xml:space="preserve">La scolarisation des enfants autistes, même si elle augmente régulièrement, demeure réservée à un trop petit nombre, inégale et avec de nombreuses ruptures de parcours. Si </w:t>
      </w:r>
      <w:r w:rsidR="006307C7" w:rsidRPr="001D6234">
        <w:t>l</w:t>
      </w:r>
      <w:r w:rsidRPr="001D6234">
        <w:t>a</w:t>
      </w:r>
      <w:r w:rsidRPr="000B589A">
        <w:t xml:space="preserve"> situation a </w:t>
      </w:r>
      <w:r w:rsidRPr="000B589A">
        <w:rPr>
          <w:b/>
        </w:rPr>
        <w:t>vocation à s’améliorer</w:t>
      </w:r>
      <w:r w:rsidR="006307C7" w:rsidRPr="000B589A">
        <w:t xml:space="preserve"> avec </w:t>
      </w:r>
      <w:r w:rsidRPr="000B589A">
        <w:t>la stratégie nationale pour l'autisme</w:t>
      </w:r>
      <w:r w:rsidR="000C5A1F" w:rsidRPr="000B589A">
        <w:rPr>
          <w:rStyle w:val="EndnoteReference"/>
        </w:rPr>
        <w:endnoteReference w:id="15"/>
      </w:r>
      <w:r w:rsidR="00F56625">
        <w:t>,</w:t>
      </w:r>
      <w:r w:rsidR="006307C7" w:rsidRPr="000B589A">
        <w:t xml:space="preserve"> qui </w:t>
      </w:r>
      <w:r w:rsidRPr="000B589A">
        <w:t xml:space="preserve">prévoit de développer des moyens d’intervention précoce et </w:t>
      </w:r>
      <w:r w:rsidR="002E79F4" w:rsidRPr="000B589A">
        <w:t xml:space="preserve">de </w:t>
      </w:r>
      <w:r w:rsidRPr="000B589A">
        <w:t>rattraper le retard en matière de scolarisation</w:t>
      </w:r>
      <w:r w:rsidR="006307C7" w:rsidRPr="000B589A">
        <w:rPr>
          <w:rStyle w:val="EndnoteReference"/>
        </w:rPr>
        <w:endnoteReference w:id="16"/>
      </w:r>
      <w:r w:rsidR="002E79F4" w:rsidRPr="000B589A">
        <w:t>, l</w:t>
      </w:r>
      <w:r w:rsidRPr="000B589A">
        <w:t xml:space="preserve">e mouvement associatif ne </w:t>
      </w:r>
      <w:r w:rsidR="00C82004" w:rsidRPr="000B589A">
        <w:t xml:space="preserve">dispose </w:t>
      </w:r>
      <w:r w:rsidRPr="000B589A">
        <w:t xml:space="preserve">pas encore </w:t>
      </w:r>
      <w:r w:rsidR="003C6019" w:rsidRPr="000B589A">
        <w:t>de</w:t>
      </w:r>
      <w:r w:rsidR="00C82004" w:rsidRPr="000B589A">
        <w:t xml:space="preserve"> moyens </w:t>
      </w:r>
      <w:r w:rsidR="003C6019" w:rsidRPr="000B589A">
        <w:t>suffisants pour se</w:t>
      </w:r>
      <w:r w:rsidRPr="000B589A">
        <w:t xml:space="preserve"> prononcer sur l’efficacité de telles mesures. </w:t>
      </w:r>
    </w:p>
    <w:p w:rsidR="00E14192" w:rsidRPr="000B589A" w:rsidRDefault="00E14192" w:rsidP="00F85197">
      <w:pPr>
        <w:spacing w:after="20"/>
        <w:jc w:val="both"/>
      </w:pPr>
    </w:p>
    <w:p w:rsidR="00E14192" w:rsidRDefault="00E14192" w:rsidP="00F85197">
      <w:pPr>
        <w:spacing w:after="20"/>
        <w:jc w:val="both"/>
      </w:pPr>
      <w:r w:rsidRPr="000B589A">
        <w:t xml:space="preserve">A noter également la </w:t>
      </w:r>
      <w:r w:rsidRPr="000B589A">
        <w:rPr>
          <w:b/>
        </w:rPr>
        <w:t>rupture d’égalité</w:t>
      </w:r>
      <w:r w:rsidRPr="000B589A">
        <w:t xml:space="preserve"> dont sont victimes certains enfants en fonction des territoires, </w:t>
      </w:r>
      <w:r w:rsidR="00887956">
        <w:t xml:space="preserve">notamment </w:t>
      </w:r>
      <w:r w:rsidR="00887956" w:rsidRPr="00887956">
        <w:rPr>
          <w:b/>
        </w:rPr>
        <w:t>O</w:t>
      </w:r>
      <w:r w:rsidRPr="00887956">
        <w:rPr>
          <w:b/>
        </w:rPr>
        <w:t>utre</w:t>
      </w:r>
      <w:r w:rsidRPr="00EC4921">
        <w:rPr>
          <w:b/>
        </w:rPr>
        <w:t>-mer</w:t>
      </w:r>
      <w:r>
        <w:t xml:space="preserve">, où le manque de moyens engendre un </w:t>
      </w:r>
      <w:r w:rsidR="002E79F4" w:rsidRPr="00A3607D">
        <w:t>diagnostic</w:t>
      </w:r>
      <w:r w:rsidR="00A3607D" w:rsidRPr="00A3607D">
        <w:t xml:space="preserve"> </w:t>
      </w:r>
      <w:r>
        <w:t xml:space="preserve">tardif </w:t>
      </w:r>
      <w:r w:rsidR="00887956">
        <w:t>avec</w:t>
      </w:r>
      <w:r>
        <w:t xml:space="preserve"> des risques de handicap</w:t>
      </w:r>
      <w:r w:rsidR="00887956">
        <w:t>s</w:t>
      </w:r>
      <w:r w:rsidR="00C82004">
        <w:t xml:space="preserve"> complexe</w:t>
      </w:r>
      <w:r w:rsidR="00887956">
        <w:t>s</w:t>
      </w:r>
      <w:r w:rsidR="00C82004">
        <w:t xml:space="preserve"> et </w:t>
      </w:r>
      <w:r w:rsidR="001D6234">
        <w:t>une</w:t>
      </w:r>
      <w:r w:rsidR="00C82004">
        <w:t xml:space="preserve"> grande dépendance</w:t>
      </w:r>
      <w:r>
        <w:t xml:space="preserve">. </w:t>
      </w:r>
    </w:p>
    <w:p w:rsidR="00E14192" w:rsidRDefault="00E14192" w:rsidP="00F85197">
      <w:pPr>
        <w:spacing w:after="20"/>
        <w:jc w:val="both"/>
      </w:pPr>
    </w:p>
    <w:p w:rsidR="00E14192" w:rsidRDefault="00E14192" w:rsidP="00F85197">
      <w:pPr>
        <w:pStyle w:val="Heading4"/>
        <w:spacing w:before="0" w:after="20"/>
        <w:ind w:left="708"/>
      </w:pPr>
      <w:r w:rsidRPr="001E6E13">
        <w:t xml:space="preserve">L’expression et la participation des enfants handicapés </w:t>
      </w:r>
    </w:p>
    <w:p w:rsidR="00BE7A5B" w:rsidRPr="00BE7A5B" w:rsidRDefault="00BE7A5B" w:rsidP="00F85197">
      <w:pPr>
        <w:spacing w:after="20"/>
      </w:pPr>
    </w:p>
    <w:p w:rsidR="00E14192" w:rsidRDefault="00236B37" w:rsidP="00F85197">
      <w:pPr>
        <w:spacing w:after="20"/>
        <w:jc w:val="both"/>
      </w:pPr>
      <w:r>
        <w:t>Les deux</w:t>
      </w:r>
      <w:r w:rsidR="00E25BFB">
        <w:t xml:space="preserve"> </w:t>
      </w:r>
      <w:r w:rsidR="00A82370">
        <w:t>C</w:t>
      </w:r>
      <w:r w:rsidR="00E14192">
        <w:t>onvention</w:t>
      </w:r>
      <w:r w:rsidR="00E25BFB">
        <w:t>s</w:t>
      </w:r>
      <w:r w:rsidR="00E14192">
        <w:t xml:space="preserve"> </w:t>
      </w:r>
      <w:r w:rsidR="00A82370">
        <w:t>des Nations unies</w:t>
      </w:r>
      <w:r>
        <w:t xml:space="preserve"> </w:t>
      </w:r>
      <w:r w:rsidR="00E14192">
        <w:t>prévoi</w:t>
      </w:r>
      <w:r>
        <w:t>en</w:t>
      </w:r>
      <w:r w:rsidR="00E14192">
        <w:t>t que « </w:t>
      </w:r>
      <w:r w:rsidR="00E14192" w:rsidRPr="00887956">
        <w:rPr>
          <w:b/>
          <w:i/>
        </w:rPr>
        <w:t>l’intérêt supérieur de l’enfant</w:t>
      </w:r>
      <w:r w:rsidR="00E14192" w:rsidRPr="00887956">
        <w:rPr>
          <w:i/>
        </w:rPr>
        <w:t xml:space="preserve"> doit être une considération primordiale</w:t>
      </w:r>
      <w:r w:rsidR="00E14192">
        <w:t> »</w:t>
      </w:r>
      <w:r>
        <w:rPr>
          <w:rStyle w:val="EndnoteReference"/>
        </w:rPr>
        <w:endnoteReference w:id="17"/>
      </w:r>
      <w:r w:rsidR="00E14192">
        <w:t xml:space="preserve">, mais également que l’enfant a </w:t>
      </w:r>
      <w:r w:rsidR="00E14192" w:rsidRPr="00887956">
        <w:rPr>
          <w:i/>
        </w:rPr>
        <w:t>«</w:t>
      </w:r>
      <w:r w:rsidR="00E14192" w:rsidRPr="00887956">
        <w:rPr>
          <w:b/>
          <w:i/>
        </w:rPr>
        <w:t> le droit d’exprimer librement son opinion</w:t>
      </w:r>
      <w:r w:rsidR="00E14192">
        <w:t> »</w:t>
      </w:r>
      <w:r>
        <w:rPr>
          <w:rStyle w:val="EndnoteReference"/>
        </w:rPr>
        <w:endnoteReference w:id="18"/>
      </w:r>
      <w:r w:rsidR="00E14192">
        <w:t>, qui doit être pris</w:t>
      </w:r>
      <w:r w:rsidR="00C82004">
        <w:t>e</w:t>
      </w:r>
      <w:r w:rsidR="00E14192">
        <w:t xml:space="preserve"> en considération. Pour tous les enfants, même en situation </w:t>
      </w:r>
      <w:r w:rsidR="00E14192">
        <w:lastRenderedPageBreak/>
        <w:t>de handicap, des dispositifs</w:t>
      </w:r>
      <w:r w:rsidR="00C82004">
        <w:t xml:space="preserve"> d’assistance humaine et technique</w:t>
      </w:r>
      <w:r w:rsidR="00E14192">
        <w:t xml:space="preserve"> permettent de prendre en compte leur parole. L’enfant doit être guidé dans le processus de décision, </w:t>
      </w:r>
      <w:r w:rsidR="00887956">
        <w:t>via</w:t>
      </w:r>
      <w:r w:rsidR="00E14192">
        <w:t xml:space="preserve"> la fourni</w:t>
      </w:r>
      <w:r w:rsidR="00887956">
        <w:t>ture d’informations nécessaires,</w:t>
      </w:r>
      <w:r w:rsidR="00E14192">
        <w:t xml:space="preserve"> accessible</w:t>
      </w:r>
      <w:r w:rsidR="00887956">
        <w:t>s</w:t>
      </w:r>
      <w:r w:rsidR="00E14192">
        <w:t xml:space="preserve"> et compréhensible</w:t>
      </w:r>
      <w:r w:rsidR="00887956">
        <w:t>s</w:t>
      </w:r>
      <w:r w:rsidR="00C82004">
        <w:t>, lui per</w:t>
      </w:r>
      <w:r w:rsidR="001D6234">
        <w:t>metta</w:t>
      </w:r>
      <w:r w:rsidR="00887956">
        <w:t>nt</w:t>
      </w:r>
      <w:r w:rsidR="003C6019">
        <w:t xml:space="preserve"> </w:t>
      </w:r>
      <w:r w:rsidR="001D6234">
        <w:t xml:space="preserve">ainsi </w:t>
      </w:r>
      <w:r w:rsidR="003C6019">
        <w:t>de se prononcer sur sa situation</w:t>
      </w:r>
      <w:r w:rsidR="00F56625">
        <w:t>,</w:t>
      </w:r>
      <w:r w:rsidR="00C82004">
        <w:t xml:space="preserve"> </w:t>
      </w:r>
      <w:r w:rsidR="00E14192">
        <w:t xml:space="preserve">sans que l’adulte </w:t>
      </w:r>
      <w:r w:rsidR="00F56625">
        <w:t xml:space="preserve">ne </w:t>
      </w:r>
      <w:r w:rsidR="00E14192">
        <w:t>se substitue à lui dans sa prise de décision.</w:t>
      </w:r>
    </w:p>
    <w:p w:rsidR="00E14192" w:rsidRDefault="00E14192" w:rsidP="00F85197">
      <w:pPr>
        <w:spacing w:after="20"/>
        <w:jc w:val="both"/>
      </w:pPr>
    </w:p>
    <w:p w:rsidR="00E14192" w:rsidRDefault="00E14192" w:rsidP="00F85197">
      <w:pPr>
        <w:spacing w:after="20"/>
        <w:jc w:val="both"/>
      </w:pPr>
      <w:r>
        <w:t xml:space="preserve">Or, en droit français, </w:t>
      </w:r>
      <w:r w:rsidR="00F56625">
        <w:t xml:space="preserve">ce sont les adultes, seuls dotés </w:t>
      </w:r>
      <w:r w:rsidR="0083782C">
        <w:t xml:space="preserve">de </w:t>
      </w:r>
      <w:r>
        <w:t>capacité juridique</w:t>
      </w:r>
      <w:r w:rsidR="0083782C">
        <w:t>, qui</w:t>
      </w:r>
      <w:r>
        <w:t xml:space="preserve"> peuvent exprimer ce qu’ils considèrent être l’intérêt de l’enfant. De plus, </w:t>
      </w:r>
      <w:r w:rsidRPr="001E6E13">
        <w:rPr>
          <w:b/>
          <w:bCs/>
        </w:rPr>
        <w:t>l’expression des enfants doit être prévue par un texte pour exister,</w:t>
      </w:r>
      <w:r w:rsidRPr="00D5466D">
        <w:t xml:space="preserve"> </w:t>
      </w:r>
      <w:r>
        <w:t xml:space="preserve">mais n’a que pour objectif </w:t>
      </w:r>
      <w:r w:rsidR="001D6234">
        <w:t xml:space="preserve">que </w:t>
      </w:r>
      <w:r>
        <w:t>d’éclairer l’adulte en position de décision sur ce qu’il perçoit des choses.</w:t>
      </w:r>
    </w:p>
    <w:p w:rsidR="00E14192" w:rsidRDefault="00082045" w:rsidP="00F85197">
      <w:pPr>
        <w:spacing w:after="20"/>
        <w:jc w:val="both"/>
      </w:pPr>
      <w:r>
        <w:rPr>
          <w:bCs/>
        </w:rPr>
        <w:t>En cas de conflit</w:t>
      </w:r>
      <w:r w:rsidR="00E14192" w:rsidRPr="001E6E13">
        <w:rPr>
          <w:bCs/>
        </w:rPr>
        <w:t xml:space="preserve"> d’intérêts avec son représentant légal, </w:t>
      </w:r>
      <w:r w:rsidR="00E14192" w:rsidRPr="001E6E13">
        <w:rPr>
          <w:b/>
          <w:bCs/>
        </w:rPr>
        <w:t xml:space="preserve">l’enfant est représenté par un administrateur </w:t>
      </w:r>
      <w:r w:rsidR="00E14192" w:rsidRPr="00887956">
        <w:rPr>
          <w:b/>
          <w:bCs/>
          <w:i/>
        </w:rPr>
        <w:t>ad hoc</w:t>
      </w:r>
      <w:r w:rsidR="0083782C">
        <w:rPr>
          <w:b/>
          <w:bCs/>
          <w:i/>
        </w:rPr>
        <w:t xml:space="preserve"> </w:t>
      </w:r>
      <w:r w:rsidR="0083782C">
        <w:rPr>
          <w:bCs/>
        </w:rPr>
        <w:t>mais</w:t>
      </w:r>
      <w:r w:rsidR="0083782C" w:rsidRPr="0083782C">
        <w:rPr>
          <w:bCs/>
        </w:rPr>
        <w:t xml:space="preserve"> aucun texte ne prévoit </w:t>
      </w:r>
      <w:r w:rsidR="0083782C">
        <w:rPr>
          <w:bCs/>
        </w:rPr>
        <w:t xml:space="preserve">qu’il doit prendre </w:t>
      </w:r>
      <w:r w:rsidR="0083782C" w:rsidRPr="0083782C">
        <w:rPr>
          <w:bCs/>
        </w:rPr>
        <w:t>en compte l’expression de l’enfant</w:t>
      </w:r>
      <w:r w:rsidR="00E14192" w:rsidRPr="00D5466D">
        <w:t xml:space="preserve">. </w:t>
      </w:r>
      <w:r w:rsidR="0083782C">
        <w:t xml:space="preserve">De même, </w:t>
      </w:r>
      <w:r w:rsidR="00EA476B">
        <w:t xml:space="preserve">sa parole n’est pas prise en compte dans une </w:t>
      </w:r>
      <w:r w:rsidR="00E14192" w:rsidRPr="001E6E13">
        <w:rPr>
          <w:b/>
        </w:rPr>
        <w:t xml:space="preserve">procédure devant </w:t>
      </w:r>
      <w:r w:rsidR="0083782C">
        <w:rPr>
          <w:b/>
        </w:rPr>
        <w:t>une</w:t>
      </w:r>
      <w:r w:rsidR="00E14192" w:rsidRPr="001E6E13">
        <w:rPr>
          <w:b/>
        </w:rPr>
        <w:t xml:space="preserve"> MDPH</w:t>
      </w:r>
      <w:r w:rsidR="0083782C">
        <w:t xml:space="preserve">, même si en </w:t>
      </w:r>
      <w:r w:rsidR="0083782C" w:rsidRPr="00D5466D">
        <w:t xml:space="preserve">pratique, les </w:t>
      </w:r>
      <w:r w:rsidR="0083782C">
        <w:t xml:space="preserve">ESMS </w:t>
      </w:r>
      <w:r w:rsidR="0083782C" w:rsidRPr="00D5466D">
        <w:t xml:space="preserve">vérifient que l’enfant souhaite </w:t>
      </w:r>
      <w:r w:rsidR="001D6234">
        <w:t xml:space="preserve">être </w:t>
      </w:r>
      <w:r w:rsidR="0047645D">
        <w:t>présent</w:t>
      </w:r>
      <w:r w:rsidR="0083782C">
        <w:t xml:space="preserve">. </w:t>
      </w:r>
    </w:p>
    <w:p w:rsidR="00E14192" w:rsidRPr="00C4115F" w:rsidRDefault="00E14192" w:rsidP="00F85197">
      <w:pPr>
        <w:pStyle w:val="Default"/>
        <w:spacing w:after="20" w:line="259" w:lineRule="auto"/>
        <w:jc w:val="both"/>
        <w:rPr>
          <w:rFonts w:asciiTheme="minorHAnsi" w:hAnsiTheme="minorHAnsi" w:cstheme="minorHAnsi"/>
          <w:sz w:val="22"/>
          <w:szCs w:val="22"/>
        </w:rPr>
      </w:pPr>
      <w:r w:rsidRPr="00C4115F">
        <w:rPr>
          <w:rFonts w:asciiTheme="minorHAnsi" w:hAnsiTheme="minorHAnsi" w:cstheme="minorHAnsi"/>
          <w:bCs/>
          <w:sz w:val="22"/>
          <w:szCs w:val="22"/>
        </w:rPr>
        <w:t>Finalement, la législation franç</w:t>
      </w:r>
      <w:r w:rsidR="00A60F0A">
        <w:rPr>
          <w:rFonts w:asciiTheme="minorHAnsi" w:hAnsiTheme="minorHAnsi" w:cstheme="minorHAnsi"/>
          <w:bCs/>
          <w:sz w:val="22"/>
          <w:szCs w:val="22"/>
        </w:rPr>
        <w:t xml:space="preserve">aise ne permet pas à l’enfant d’introduire </w:t>
      </w:r>
      <w:r w:rsidRPr="00C4115F">
        <w:rPr>
          <w:rFonts w:asciiTheme="minorHAnsi" w:hAnsiTheme="minorHAnsi" w:cstheme="minorHAnsi"/>
          <w:b/>
          <w:bCs/>
          <w:sz w:val="22"/>
          <w:szCs w:val="22"/>
        </w:rPr>
        <w:t>un recours, même non judiciaire</w:t>
      </w:r>
      <w:r w:rsidRPr="00C4115F">
        <w:rPr>
          <w:rFonts w:asciiTheme="minorHAnsi" w:hAnsiTheme="minorHAnsi" w:cstheme="minorHAnsi"/>
          <w:sz w:val="22"/>
          <w:szCs w:val="22"/>
        </w:rPr>
        <w:t>. Par exemple, le recours à une personne qualifiée n’est possible que pour la personne accompagnée ou so</w:t>
      </w:r>
      <w:r w:rsidR="00A60F0A">
        <w:rPr>
          <w:rFonts w:asciiTheme="minorHAnsi" w:hAnsiTheme="minorHAnsi" w:cstheme="minorHAnsi"/>
          <w:sz w:val="22"/>
          <w:szCs w:val="22"/>
        </w:rPr>
        <w:t>n représentant légal</w:t>
      </w:r>
      <w:r w:rsidR="00A60F0A">
        <w:rPr>
          <w:rStyle w:val="EndnoteReference"/>
          <w:rFonts w:asciiTheme="minorHAnsi" w:hAnsiTheme="minorHAnsi" w:cstheme="minorHAnsi"/>
          <w:sz w:val="22"/>
          <w:szCs w:val="22"/>
        </w:rPr>
        <w:endnoteReference w:id="19"/>
      </w:r>
      <w:r w:rsidRPr="00C4115F">
        <w:rPr>
          <w:rFonts w:asciiTheme="minorHAnsi" w:hAnsiTheme="minorHAnsi" w:cstheme="minorHAnsi"/>
          <w:sz w:val="22"/>
          <w:szCs w:val="22"/>
        </w:rPr>
        <w:t xml:space="preserve">. </w:t>
      </w:r>
    </w:p>
    <w:p w:rsidR="00E14192" w:rsidRPr="00C4115F" w:rsidRDefault="00E14192" w:rsidP="00F85197">
      <w:pPr>
        <w:pStyle w:val="Default"/>
        <w:spacing w:after="20" w:line="259" w:lineRule="auto"/>
        <w:jc w:val="both"/>
        <w:rPr>
          <w:rFonts w:asciiTheme="minorHAnsi" w:hAnsiTheme="minorHAnsi" w:cstheme="minorHAnsi"/>
          <w:b/>
          <w:sz w:val="22"/>
          <w:szCs w:val="22"/>
        </w:rPr>
      </w:pPr>
      <w:r w:rsidRPr="00C4115F">
        <w:rPr>
          <w:rFonts w:asciiTheme="minorHAnsi" w:hAnsiTheme="minorHAnsi" w:cstheme="minorHAnsi"/>
          <w:b/>
          <w:bCs/>
          <w:sz w:val="22"/>
          <w:szCs w:val="22"/>
        </w:rPr>
        <w:t xml:space="preserve">Cette vision est contraire à l’esprit de la Convention, et une évolution du droit serait </w:t>
      </w:r>
      <w:r w:rsidR="00F16C31">
        <w:rPr>
          <w:rFonts w:asciiTheme="minorHAnsi" w:hAnsiTheme="minorHAnsi" w:cstheme="minorHAnsi"/>
          <w:b/>
          <w:bCs/>
          <w:sz w:val="22"/>
          <w:szCs w:val="22"/>
        </w:rPr>
        <w:t>particulièrement nécessaire</w:t>
      </w:r>
      <w:r w:rsidR="00F16C31" w:rsidRPr="00C4115F">
        <w:rPr>
          <w:rFonts w:asciiTheme="minorHAnsi" w:hAnsiTheme="minorHAnsi" w:cstheme="minorHAnsi"/>
          <w:b/>
          <w:bCs/>
          <w:sz w:val="22"/>
          <w:szCs w:val="22"/>
        </w:rPr>
        <w:t xml:space="preserve"> </w:t>
      </w:r>
      <w:r w:rsidRPr="00C4115F">
        <w:rPr>
          <w:rFonts w:asciiTheme="minorHAnsi" w:hAnsiTheme="minorHAnsi" w:cstheme="minorHAnsi"/>
          <w:b/>
          <w:bCs/>
          <w:sz w:val="22"/>
          <w:szCs w:val="22"/>
        </w:rPr>
        <w:t xml:space="preserve">sur ce point. </w:t>
      </w:r>
    </w:p>
    <w:p w:rsidR="00E14192" w:rsidRDefault="00E14192" w:rsidP="00F85197">
      <w:pPr>
        <w:spacing w:after="20"/>
        <w:jc w:val="both"/>
      </w:pPr>
    </w:p>
    <w:p w:rsidR="00E14192" w:rsidRDefault="00E14192" w:rsidP="00F85197">
      <w:pPr>
        <w:pStyle w:val="Heading4"/>
        <w:spacing w:before="0" w:after="20"/>
        <w:ind w:left="708"/>
      </w:pPr>
      <w:r w:rsidRPr="007573BB">
        <w:t xml:space="preserve">Maltraitance </w:t>
      </w:r>
    </w:p>
    <w:p w:rsidR="00BE7A5B" w:rsidRPr="00BE7A5B" w:rsidRDefault="00BE7A5B" w:rsidP="00F85197">
      <w:pPr>
        <w:spacing w:after="20"/>
      </w:pPr>
    </w:p>
    <w:p w:rsidR="00E14192" w:rsidRPr="000B589A" w:rsidRDefault="00E14192" w:rsidP="00F85197">
      <w:pPr>
        <w:spacing w:after="20"/>
        <w:jc w:val="both"/>
      </w:pPr>
      <w:r>
        <w:t xml:space="preserve">L’absence de prise en compte de </w:t>
      </w:r>
      <w:r w:rsidRPr="000B589A">
        <w:rPr>
          <w:b/>
        </w:rPr>
        <w:t>la parole des enfants</w:t>
      </w:r>
      <w:r>
        <w:t xml:space="preserve"> est intimement liée avec les problèmes de malt</w:t>
      </w:r>
      <w:r w:rsidR="00082045">
        <w:t>raitance</w:t>
      </w:r>
      <w:r w:rsidR="00EA476B">
        <w:t>. En effet,</w:t>
      </w:r>
      <w:r>
        <w:t xml:space="preserve"> l’expression de la douleur peut être différente </w:t>
      </w:r>
      <w:r w:rsidR="009423A9">
        <w:t xml:space="preserve">d’un enfant à l’autre </w:t>
      </w:r>
      <w:r>
        <w:t>(autisme, infirmité cérébrale, trouble de l’expressi</w:t>
      </w:r>
      <w:r w:rsidR="00082045">
        <w:t xml:space="preserve">on), </w:t>
      </w:r>
      <w:r w:rsidR="009D4B01">
        <w:t>ce qui peut</w:t>
      </w:r>
      <w:r w:rsidR="00EA476B">
        <w:t xml:space="preserve"> rendre plus complexe la possibilité</w:t>
      </w:r>
      <w:r w:rsidR="00082045">
        <w:t xml:space="preserve"> de détecter un acte de maltraitance. </w:t>
      </w:r>
    </w:p>
    <w:p w:rsidR="00420253" w:rsidRPr="000B589A" w:rsidRDefault="00420253" w:rsidP="00420253">
      <w:pPr>
        <w:jc w:val="both"/>
      </w:pPr>
      <w:r w:rsidRPr="000B589A">
        <w:t xml:space="preserve">Le numéro d’urgence, 119, pour les enfants maltraités n’est pas accessible aux enfants handicapés : ceux qui sont en institution ou </w:t>
      </w:r>
      <w:r w:rsidR="0047645D">
        <w:t>pris en charge par</w:t>
      </w:r>
      <w:r w:rsidRPr="000B589A">
        <w:t xml:space="preserve"> l’aide sociale à l’enfance (ASE) sont totalement privés d’accès au droit de </w:t>
      </w:r>
      <w:r w:rsidR="0047645D">
        <w:t>faire part des</w:t>
      </w:r>
      <w:r w:rsidRPr="000B589A">
        <w:t xml:space="preserve"> maltraitances dont ils </w:t>
      </w:r>
      <w:r w:rsidR="0047645D">
        <w:t>f</w:t>
      </w:r>
      <w:r w:rsidRPr="000B589A">
        <w:t xml:space="preserve">ont l’objet. </w:t>
      </w:r>
    </w:p>
    <w:p w:rsidR="00E14192" w:rsidRDefault="00E14192" w:rsidP="00F85197">
      <w:pPr>
        <w:spacing w:after="20"/>
        <w:jc w:val="both"/>
      </w:pPr>
    </w:p>
    <w:p w:rsidR="00E14192" w:rsidRDefault="00E14192" w:rsidP="00F85197">
      <w:pPr>
        <w:pStyle w:val="Heading4"/>
        <w:spacing w:before="0" w:after="20"/>
        <w:ind w:left="708"/>
      </w:pPr>
      <w:r w:rsidRPr="007573BB">
        <w:t>L’accès aux activités périscolaire</w:t>
      </w:r>
      <w:r w:rsidR="00484E88">
        <w:t>s</w:t>
      </w:r>
    </w:p>
    <w:p w:rsidR="00BE7A5B" w:rsidRPr="00BE7A5B" w:rsidRDefault="00BE7A5B" w:rsidP="00F85197">
      <w:pPr>
        <w:spacing w:after="20"/>
      </w:pPr>
    </w:p>
    <w:p w:rsidR="00E14192" w:rsidRDefault="00E14192" w:rsidP="00F85197">
      <w:pPr>
        <w:spacing w:after="20"/>
        <w:jc w:val="both"/>
      </w:pPr>
      <w:r>
        <w:t xml:space="preserve">Les enfants </w:t>
      </w:r>
      <w:r w:rsidR="00C0604D">
        <w:t>en situation de handicap</w:t>
      </w:r>
      <w:r>
        <w:t xml:space="preserve"> doivent pouvoir s’épanouir de la même façon que tous les autres enfants, y compris </w:t>
      </w:r>
      <w:r w:rsidR="001D7A0A">
        <w:t>lors d’</w:t>
      </w:r>
      <w:r>
        <w:t xml:space="preserve">activités périscolaires. </w:t>
      </w:r>
    </w:p>
    <w:p w:rsidR="00E14192" w:rsidRDefault="00E14192" w:rsidP="00F85197">
      <w:pPr>
        <w:spacing w:after="20"/>
        <w:jc w:val="both"/>
      </w:pPr>
      <w:r>
        <w:t xml:space="preserve">Or, il existe </w:t>
      </w:r>
      <w:r w:rsidRPr="00C0604D">
        <w:rPr>
          <w:b/>
        </w:rPr>
        <w:t xml:space="preserve">peu de structures d’accueil collectif </w:t>
      </w:r>
      <w:r>
        <w:t xml:space="preserve">équipées pour les accueillir de manière satisfaisante (personnels non formés, en nombre insuffisant…). Il s’agit désormais d’attendre les résultats </w:t>
      </w:r>
      <w:r w:rsidR="001D7A0A">
        <w:t>faisant suite à</w:t>
      </w:r>
      <w:r>
        <w:t xml:space="preserve"> la </w:t>
      </w:r>
      <w:r w:rsidR="00484E88">
        <w:t>m</w:t>
      </w:r>
      <w:r w:rsidRPr="00BE4C17">
        <w:t>ission nationale « Accueils de loisirs et handicap</w:t>
      </w:r>
      <w:r>
        <w:t xml:space="preserve"> »</w:t>
      </w:r>
      <w:r>
        <w:rPr>
          <w:rStyle w:val="EndnoteReference"/>
        </w:rPr>
        <w:endnoteReference w:id="20"/>
      </w:r>
      <w:r w:rsidR="004A6E68">
        <w:t xml:space="preserve"> pour savoir si de nouveaux dispositifs seront prévus. </w:t>
      </w:r>
    </w:p>
    <w:p w:rsidR="00E14192" w:rsidRDefault="00E14192" w:rsidP="00F85197">
      <w:pPr>
        <w:spacing w:after="20"/>
        <w:jc w:val="both"/>
      </w:pPr>
    </w:p>
    <w:p w:rsidR="00C0604D" w:rsidRDefault="00C0604D" w:rsidP="00F85197">
      <w:pPr>
        <w:spacing w:after="20"/>
        <w:jc w:val="both"/>
      </w:pPr>
    </w:p>
    <w:tbl>
      <w:tblPr>
        <w:tblStyle w:val="GridTable1Light-Accent1"/>
        <w:tblW w:w="0" w:type="auto"/>
        <w:tblLook w:val="04A0" w:firstRow="1" w:lastRow="0" w:firstColumn="1" w:lastColumn="0" w:noHBand="0" w:noVBand="1"/>
      </w:tblPr>
      <w:tblGrid>
        <w:gridCol w:w="9062"/>
      </w:tblGrid>
      <w:tr w:rsidR="001E26C4" w:rsidTr="00A41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F2F7FC"/>
          </w:tcPr>
          <w:p w:rsidR="001E26C4" w:rsidRDefault="001E26C4" w:rsidP="00F85197">
            <w:pPr>
              <w:pStyle w:val="Heading7"/>
              <w:spacing w:before="0" w:after="20" w:line="259" w:lineRule="auto"/>
              <w:outlineLvl w:val="6"/>
            </w:pPr>
            <w:bookmarkStart w:id="23" w:name="_Toc20128115"/>
            <w:bookmarkStart w:id="24" w:name="_Toc18076103"/>
            <w:r w:rsidRPr="00F2623F">
              <w:rPr>
                <w:rStyle w:val="Emphasis"/>
                <w:i/>
                <w:iCs/>
              </w:rPr>
              <w:t>Recommandations</w:t>
            </w:r>
            <w:bookmarkEnd w:id="23"/>
            <w:r>
              <w:t> </w:t>
            </w:r>
          </w:p>
          <w:p w:rsidR="00C0604D" w:rsidRPr="00733B58" w:rsidRDefault="00C0604D" w:rsidP="00C0604D">
            <w:pPr>
              <w:rPr>
                <w:sz w:val="16"/>
                <w:szCs w:val="16"/>
                <w:lang w:eastAsia="en-GB"/>
              </w:rPr>
            </w:pPr>
          </w:p>
          <w:p w:rsidR="00762243" w:rsidRPr="000C5A1F" w:rsidRDefault="00762243" w:rsidP="00027EF9">
            <w:pPr>
              <w:pStyle w:val="ListParagraph"/>
              <w:widowControl w:val="0"/>
              <w:numPr>
                <w:ilvl w:val="0"/>
                <w:numId w:val="5"/>
              </w:numPr>
              <w:autoSpaceDE w:val="0"/>
              <w:autoSpaceDN w:val="0"/>
              <w:spacing w:after="20" w:line="259" w:lineRule="auto"/>
              <w:ind w:right="113"/>
              <w:contextualSpacing w:val="0"/>
              <w:jc w:val="both"/>
            </w:pPr>
            <w:r w:rsidRPr="00591F1A">
              <w:t>En s’appuyant sur l’observation générale n°14 du Comité des droits de l’enfant</w:t>
            </w:r>
            <w:r w:rsidR="00C0604D">
              <w:rPr>
                <w:rStyle w:val="EndnoteReference"/>
              </w:rPr>
              <w:endnoteReference w:id="21"/>
            </w:r>
            <w:r w:rsidRPr="00591F1A">
              <w:t xml:space="preserve">, donner des repères aux parents et aux professionnels qui les accompagnent sur la prise en compte de l’intérêt supérieur de l’enfant et </w:t>
            </w:r>
            <w:r w:rsidR="00670019">
              <w:t xml:space="preserve">sur </w:t>
            </w:r>
            <w:r w:rsidRPr="00591F1A">
              <w:t xml:space="preserve">les conséquences concrètes qui en </w:t>
            </w:r>
            <w:r w:rsidRPr="000C5A1F">
              <w:t>découlent.</w:t>
            </w:r>
          </w:p>
          <w:p w:rsidR="00C0604D" w:rsidRDefault="003606F0" w:rsidP="00C0604D">
            <w:pPr>
              <w:pStyle w:val="ListParagraph"/>
              <w:widowControl w:val="0"/>
              <w:numPr>
                <w:ilvl w:val="0"/>
                <w:numId w:val="5"/>
              </w:numPr>
              <w:autoSpaceDE w:val="0"/>
              <w:autoSpaceDN w:val="0"/>
              <w:spacing w:after="20" w:line="259" w:lineRule="auto"/>
              <w:ind w:right="113"/>
              <w:contextualSpacing w:val="0"/>
              <w:jc w:val="both"/>
            </w:pPr>
            <w:r w:rsidRPr="000C5A1F">
              <w:t>Rendre obligatoire</w:t>
            </w:r>
            <w:r w:rsidR="00762243" w:rsidRPr="000C5A1F">
              <w:t xml:space="preserve"> la consultation des enfants sur tous </w:t>
            </w:r>
            <w:r w:rsidR="007A5053" w:rsidRPr="000C5A1F">
              <w:t>les projets qui les concernent</w:t>
            </w:r>
            <w:r w:rsidR="00213228" w:rsidRPr="000C5A1F">
              <w:t>, afin de prendre systématiquement en compte l</w:t>
            </w:r>
            <w:r w:rsidR="00670019" w:rsidRPr="000C5A1F">
              <w:t>eur</w:t>
            </w:r>
            <w:r w:rsidR="00213228" w:rsidRPr="000C5A1F">
              <w:t xml:space="preserve"> parole</w:t>
            </w:r>
            <w:r w:rsidR="00670019" w:rsidRPr="000C5A1F">
              <w:t>.</w:t>
            </w:r>
          </w:p>
          <w:p w:rsidR="00C0604D" w:rsidRPr="00C0604D" w:rsidRDefault="00C0604D" w:rsidP="00C0604D">
            <w:pPr>
              <w:pStyle w:val="ListParagraph"/>
              <w:widowControl w:val="0"/>
              <w:numPr>
                <w:ilvl w:val="0"/>
                <w:numId w:val="5"/>
              </w:numPr>
              <w:autoSpaceDE w:val="0"/>
              <w:autoSpaceDN w:val="0"/>
              <w:spacing w:after="20" w:line="259" w:lineRule="auto"/>
              <w:ind w:right="113"/>
              <w:contextualSpacing w:val="0"/>
              <w:jc w:val="both"/>
            </w:pPr>
            <w:r>
              <w:t>Former les</w:t>
            </w:r>
            <w:r w:rsidRPr="00C0604D">
              <w:t xml:space="preserve"> médecins à certains réflexes pour pouvoir détecter des signes de</w:t>
            </w:r>
            <w:r>
              <w:t xml:space="preserve"> maltraitance ou de violence faites aux enfants en situation de handicap</w:t>
            </w:r>
            <w:r w:rsidRPr="00C0604D">
              <w:t xml:space="preserve">, y compris les violences sexuelles. </w:t>
            </w:r>
          </w:p>
          <w:p w:rsidR="001E26C4" w:rsidRDefault="001E26C4" w:rsidP="00F85197">
            <w:pPr>
              <w:spacing w:after="20" w:line="259" w:lineRule="auto"/>
              <w:jc w:val="both"/>
            </w:pPr>
          </w:p>
        </w:tc>
      </w:tr>
    </w:tbl>
    <w:p w:rsidR="003C44B3" w:rsidRDefault="003C44B3" w:rsidP="00F85197">
      <w:pPr>
        <w:spacing w:after="20"/>
        <w:rPr>
          <w:rFonts w:asciiTheme="majorHAnsi" w:eastAsiaTheme="majorEastAsia" w:hAnsiTheme="majorHAnsi" w:cstheme="majorBidi"/>
          <w:b/>
          <w:i/>
          <w:color w:val="2F5496" w:themeColor="accent5" w:themeShade="BF"/>
          <w:sz w:val="26"/>
          <w:lang w:eastAsia="en-GB"/>
        </w:rPr>
      </w:pPr>
      <w:r>
        <w:br w:type="page"/>
      </w:r>
    </w:p>
    <w:p w:rsidR="00E14192" w:rsidRPr="00672528" w:rsidRDefault="00E14192" w:rsidP="007227BF">
      <w:pPr>
        <w:pStyle w:val="Heading3"/>
      </w:pPr>
      <w:bookmarkStart w:id="25" w:name="_Toc29546064"/>
      <w:r w:rsidRPr="00D3147C">
        <w:lastRenderedPageBreak/>
        <w:t xml:space="preserve">Article 8 </w:t>
      </w:r>
      <w:r w:rsidR="00C4409C" w:rsidRPr="00D3147C">
        <w:t>–</w:t>
      </w:r>
      <w:r w:rsidRPr="00D3147C">
        <w:t xml:space="preserve"> Sensibilisation</w:t>
      </w:r>
      <w:bookmarkEnd w:id="24"/>
      <w:bookmarkEnd w:id="25"/>
      <w:r w:rsidR="00C4409C">
        <w:t xml:space="preserve"> </w:t>
      </w:r>
    </w:p>
    <w:p w:rsidR="000C5A1F" w:rsidRDefault="000C5A1F" w:rsidP="00F85197">
      <w:pPr>
        <w:spacing w:after="20"/>
        <w:jc w:val="both"/>
      </w:pPr>
    </w:p>
    <w:p w:rsidR="00E14192" w:rsidRDefault="00082045" w:rsidP="00F85197">
      <w:pPr>
        <w:spacing w:after="20"/>
        <w:jc w:val="both"/>
      </w:pPr>
      <w:r>
        <w:t>La</w:t>
      </w:r>
      <w:r w:rsidR="00E14192">
        <w:t xml:space="preserve"> Convention prévoit des obligations générales en matière de sensibilisation, auprès</w:t>
      </w:r>
      <w:r w:rsidR="0047645D">
        <w:t xml:space="preserve"> de l’ensemble de la société, ce qui veut dire aussi auprès des </w:t>
      </w:r>
      <w:r w:rsidR="00E14192">
        <w:t>famille</w:t>
      </w:r>
      <w:r w:rsidR="0047645D">
        <w:t>s</w:t>
      </w:r>
      <w:r w:rsidR="000F6B39">
        <w:t xml:space="preserve">, </w:t>
      </w:r>
      <w:r w:rsidR="00E14192">
        <w:t>dans le milieu du travail et dans le système éducatif</w:t>
      </w:r>
      <w:r w:rsidR="000F6B39">
        <w:t>.</w:t>
      </w:r>
    </w:p>
    <w:p w:rsidR="00E14192" w:rsidRDefault="00E14192" w:rsidP="00F85197">
      <w:pPr>
        <w:spacing w:after="20"/>
        <w:jc w:val="both"/>
      </w:pPr>
    </w:p>
    <w:p w:rsidR="00403656" w:rsidRDefault="00403656" w:rsidP="00291ED1">
      <w:pPr>
        <w:pStyle w:val="Heading4"/>
        <w:ind w:firstLine="708"/>
      </w:pPr>
      <w:r>
        <w:t xml:space="preserve">Sensibilisation aux droits prévus par la Convention </w:t>
      </w:r>
    </w:p>
    <w:p w:rsidR="00403656" w:rsidRPr="00403656" w:rsidRDefault="00403656" w:rsidP="00403656"/>
    <w:p w:rsidR="00E14192" w:rsidRDefault="00E14192" w:rsidP="00F85197">
      <w:pPr>
        <w:spacing w:after="20"/>
        <w:jc w:val="both"/>
      </w:pPr>
      <w:r>
        <w:t>D</w:t>
      </w:r>
      <w:r w:rsidR="005410CC">
        <w:t xml:space="preserve">epuis 2009, le mouvement associatif </w:t>
      </w:r>
      <w:r>
        <w:t xml:space="preserve">et le CNCPH ont plusieurs fois réitéré la nécessité d'une vaste campagne de sensibilisation, à l’image des campagnes de sécurité routière, qui permettrait de faire comprendre </w:t>
      </w:r>
      <w:r w:rsidRPr="008C3C90">
        <w:rPr>
          <w:b/>
        </w:rPr>
        <w:t>l'enjeu de l'accessibilité</w:t>
      </w:r>
      <w:r>
        <w:t xml:space="preserve">, </w:t>
      </w:r>
      <w:r w:rsidRPr="001E3D95">
        <w:t xml:space="preserve">en vain.  </w:t>
      </w:r>
    </w:p>
    <w:p w:rsidR="00D3147C" w:rsidRPr="000B589A" w:rsidRDefault="00D3147C" w:rsidP="00F85197">
      <w:pPr>
        <w:spacing w:after="20"/>
        <w:jc w:val="both"/>
      </w:pPr>
    </w:p>
    <w:p w:rsidR="00D3147C" w:rsidRPr="000B589A" w:rsidRDefault="00D3147C" w:rsidP="00F85197">
      <w:pPr>
        <w:spacing w:after="20"/>
        <w:jc w:val="both"/>
      </w:pPr>
      <w:r w:rsidRPr="000B589A">
        <w:t>En outre, les campagnes de sensibilisation au handicap, comme l’autisme, sont généralement le fait d’initiatives associati</w:t>
      </w:r>
      <w:r w:rsidR="00C66A0C" w:rsidRPr="000B589A">
        <w:t>ves</w:t>
      </w:r>
      <w:r w:rsidRPr="000B589A">
        <w:t xml:space="preserve">, et de quelques entreprises dans le domaine de l’emploi. </w:t>
      </w:r>
    </w:p>
    <w:p w:rsidR="00E14192" w:rsidRDefault="00E14192" w:rsidP="00F85197">
      <w:pPr>
        <w:spacing w:after="20"/>
        <w:jc w:val="both"/>
      </w:pPr>
    </w:p>
    <w:p w:rsidR="00403656" w:rsidRDefault="00403656" w:rsidP="00291ED1">
      <w:pPr>
        <w:pStyle w:val="Heading4"/>
        <w:ind w:firstLine="708"/>
      </w:pPr>
      <w:r>
        <w:t xml:space="preserve">Représentation des personnes : stigmatisation et préjugés </w:t>
      </w:r>
    </w:p>
    <w:p w:rsidR="00403656" w:rsidRDefault="00403656" w:rsidP="00F85197">
      <w:pPr>
        <w:spacing w:after="20"/>
        <w:jc w:val="both"/>
      </w:pPr>
    </w:p>
    <w:p w:rsidR="00E14192" w:rsidRPr="00CD0647" w:rsidRDefault="00E14192" w:rsidP="00F85197">
      <w:pPr>
        <w:spacing w:after="20"/>
        <w:jc w:val="both"/>
        <w:rPr>
          <w:b/>
        </w:rPr>
      </w:pPr>
      <w:r w:rsidRPr="00CD0647">
        <w:rPr>
          <w:b/>
        </w:rPr>
        <w:t>Aucune action générale directe de l’Etat ne vise à améliorer les représentations des personnes handicapées dans</w:t>
      </w:r>
      <w:r w:rsidRPr="00E712A2">
        <w:rPr>
          <w:b/>
        </w:rPr>
        <w:t xml:space="preserve"> les médias audiovisuels, </w:t>
      </w:r>
      <w:r w:rsidRPr="00CD0647">
        <w:rPr>
          <w:b/>
        </w:rPr>
        <w:t xml:space="preserve">vecteur </w:t>
      </w:r>
      <w:r w:rsidR="002D7459">
        <w:rPr>
          <w:b/>
        </w:rPr>
        <w:t>clé</w:t>
      </w:r>
      <w:r w:rsidR="002D7459" w:rsidRPr="00CD0647">
        <w:rPr>
          <w:b/>
        </w:rPr>
        <w:t xml:space="preserve"> </w:t>
      </w:r>
      <w:r w:rsidRPr="00CD0647">
        <w:rPr>
          <w:b/>
        </w:rPr>
        <w:t>permettant de faire circuler les informations.</w:t>
      </w:r>
      <w:r w:rsidR="00CD5012">
        <w:rPr>
          <w:b/>
        </w:rPr>
        <w:t xml:space="preserve"> </w:t>
      </w:r>
    </w:p>
    <w:p w:rsidR="00BA1615" w:rsidRDefault="00BA1615" w:rsidP="00F85197">
      <w:pPr>
        <w:spacing w:after="20"/>
        <w:jc w:val="both"/>
      </w:pPr>
    </w:p>
    <w:p w:rsidR="00CA17DC" w:rsidRPr="000B589A" w:rsidRDefault="00E712A2" w:rsidP="00CA17DC">
      <w:pPr>
        <w:spacing w:after="20"/>
        <w:jc w:val="both"/>
      </w:pPr>
      <w:r w:rsidRPr="000B589A">
        <w:t>L</w:t>
      </w:r>
      <w:r w:rsidR="00E14192" w:rsidRPr="000B589A">
        <w:t>e Conseil supérieur de l’audiovisuel (CSA)</w:t>
      </w:r>
      <w:r w:rsidR="00E14192" w:rsidRPr="000B589A">
        <w:rPr>
          <w:rStyle w:val="EndnoteReference"/>
        </w:rPr>
        <w:endnoteReference w:id="22"/>
      </w:r>
      <w:r w:rsidR="00E14192" w:rsidRPr="000B589A">
        <w:t>,</w:t>
      </w:r>
      <w:r w:rsidR="00BA1615" w:rsidRPr="000B589A">
        <w:t xml:space="preserve"> </w:t>
      </w:r>
      <w:r w:rsidR="00E14192" w:rsidRPr="000B589A">
        <w:t xml:space="preserve">autorité administrative indépendante chargée de la représentation de la diversité de </w:t>
      </w:r>
      <w:r w:rsidR="002D7459" w:rsidRPr="000B589A">
        <w:t>l</w:t>
      </w:r>
      <w:r w:rsidR="00E14192" w:rsidRPr="000B589A">
        <w:t xml:space="preserve">a société dans les médias audiovisuels, </w:t>
      </w:r>
      <w:r w:rsidRPr="000B589A">
        <w:t xml:space="preserve">constate que </w:t>
      </w:r>
      <w:r w:rsidR="00E14192" w:rsidRPr="000B589A">
        <w:t>la visibilité des personnes handicapées à</w:t>
      </w:r>
      <w:r w:rsidR="00CA17DC" w:rsidRPr="000B589A">
        <w:t xml:space="preserve"> l’écran est très faible : en 2018, seulement 0,7 % des personnes étaient perçues comme en situation de handicap.</w:t>
      </w:r>
    </w:p>
    <w:p w:rsidR="006A2A59" w:rsidRPr="000B589A" w:rsidRDefault="00CA17DC" w:rsidP="00F85197">
      <w:pPr>
        <w:spacing w:after="20"/>
        <w:jc w:val="both"/>
      </w:pPr>
      <w:r w:rsidRPr="000B589A">
        <w:lastRenderedPageBreak/>
        <w:t xml:space="preserve">Le CIH et le CSA </w:t>
      </w:r>
      <w:r w:rsidR="00746C89">
        <w:t>ont signés</w:t>
      </w:r>
      <w:r w:rsidRPr="000B589A">
        <w:t xml:space="preserve"> le 3 décembre 2019 la Charte Média et Handicap </w:t>
      </w:r>
      <w:r w:rsidR="00EA0517" w:rsidRPr="000B589A">
        <w:t>pour soutenir la visibilité des personnes en situation de handicap dans les médias. Pour le moment, l</w:t>
      </w:r>
      <w:r w:rsidR="00E14192" w:rsidRPr="000B589A">
        <w:t xml:space="preserve">es </w:t>
      </w:r>
      <w:r w:rsidR="00EA0517" w:rsidRPr="000B589A">
        <w:t xml:space="preserve">associations </w:t>
      </w:r>
      <w:r w:rsidR="00E14192" w:rsidRPr="000B589A">
        <w:t>dénoncent la stigmatisation</w:t>
      </w:r>
      <w:r w:rsidR="002D7459" w:rsidRPr="000B589A">
        <w:t xml:space="preserve"> des personnes avec des troubles psychiques</w:t>
      </w:r>
      <w:r w:rsidR="00E14192" w:rsidRPr="000B589A">
        <w:t>, y compris parfois de la part les représentants des pouvoirs publics</w:t>
      </w:r>
      <w:r w:rsidR="00EA0517" w:rsidRPr="000B589A">
        <w:t xml:space="preserve"> avec l’utilisation notamment d’expressions comme « </w:t>
      </w:r>
      <w:r w:rsidR="00C80C76">
        <w:t>schizophrène </w:t>
      </w:r>
      <w:r w:rsidR="00142829" w:rsidRPr="000B589A">
        <w:t>» ou « </w:t>
      </w:r>
      <w:r w:rsidR="00E14192" w:rsidRPr="000B589A">
        <w:t>autiste</w:t>
      </w:r>
      <w:r w:rsidR="002D7459" w:rsidRPr="000B589A">
        <w:t> </w:t>
      </w:r>
      <w:r w:rsidR="00EA0517" w:rsidRPr="000B589A">
        <w:t xml:space="preserve">». </w:t>
      </w:r>
    </w:p>
    <w:p w:rsidR="00E14192" w:rsidRPr="003E52F0" w:rsidRDefault="00E14192" w:rsidP="00F85197">
      <w:pPr>
        <w:autoSpaceDE w:val="0"/>
        <w:autoSpaceDN w:val="0"/>
        <w:adjustRightInd w:val="0"/>
        <w:spacing w:after="20"/>
        <w:jc w:val="both"/>
        <w:rPr>
          <w:rFonts w:cs="TimesNewRoman,Italic"/>
          <w:iCs/>
        </w:rPr>
      </w:pPr>
    </w:p>
    <w:tbl>
      <w:tblPr>
        <w:tblStyle w:val="GridTable1Light-Accent1"/>
        <w:tblW w:w="0" w:type="auto"/>
        <w:tblLook w:val="04A0" w:firstRow="1" w:lastRow="0" w:firstColumn="1" w:lastColumn="0" w:noHBand="0" w:noVBand="1"/>
      </w:tblPr>
      <w:tblGrid>
        <w:gridCol w:w="9062"/>
      </w:tblGrid>
      <w:tr w:rsidR="001E26C4" w:rsidTr="00A41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F2F7FC"/>
          </w:tcPr>
          <w:p w:rsidR="001E26C4" w:rsidRDefault="001E26C4" w:rsidP="00F85197">
            <w:pPr>
              <w:pStyle w:val="Heading7"/>
              <w:spacing w:before="0" w:after="20" w:line="259" w:lineRule="auto"/>
              <w:outlineLvl w:val="6"/>
            </w:pPr>
            <w:bookmarkStart w:id="26" w:name="_Toc20128117"/>
            <w:bookmarkStart w:id="27" w:name="_Toc18076104"/>
            <w:bookmarkStart w:id="28" w:name="_Toc18076105"/>
            <w:r w:rsidRPr="00F2623F">
              <w:rPr>
                <w:rStyle w:val="Emphasis"/>
                <w:i/>
                <w:iCs/>
              </w:rPr>
              <w:t>Recommandations</w:t>
            </w:r>
            <w:bookmarkEnd w:id="26"/>
            <w:r>
              <w:t> </w:t>
            </w:r>
          </w:p>
          <w:p w:rsidR="00142829" w:rsidRPr="00142829" w:rsidRDefault="00142829" w:rsidP="00142829">
            <w:pPr>
              <w:rPr>
                <w:lang w:eastAsia="en-GB"/>
              </w:rPr>
            </w:pPr>
          </w:p>
          <w:p w:rsidR="00FB416E" w:rsidRDefault="00762243" w:rsidP="00027EF9">
            <w:pPr>
              <w:pStyle w:val="ListParagraph"/>
              <w:widowControl w:val="0"/>
              <w:numPr>
                <w:ilvl w:val="0"/>
                <w:numId w:val="5"/>
              </w:numPr>
              <w:autoSpaceDE w:val="0"/>
              <w:autoSpaceDN w:val="0"/>
              <w:spacing w:after="20" w:line="259" w:lineRule="auto"/>
              <w:ind w:right="113"/>
              <w:contextualSpacing w:val="0"/>
              <w:jc w:val="both"/>
            </w:pPr>
            <w:r w:rsidRPr="00591F1A">
              <w:t xml:space="preserve">Organiser </w:t>
            </w:r>
            <w:r w:rsidR="00E712A2">
              <w:t>d</w:t>
            </w:r>
            <w:r w:rsidRPr="00591F1A">
              <w:t>e</w:t>
            </w:r>
            <w:r w:rsidR="00E712A2">
              <w:t>s</w:t>
            </w:r>
            <w:r w:rsidRPr="00591F1A">
              <w:t xml:space="preserve"> campagne</w:t>
            </w:r>
            <w:r w:rsidR="00E712A2">
              <w:t>s</w:t>
            </w:r>
            <w:r w:rsidRPr="00591F1A">
              <w:t xml:space="preserve"> nationale</w:t>
            </w:r>
            <w:r w:rsidR="00E712A2">
              <w:t>s</w:t>
            </w:r>
            <w:r w:rsidRPr="00591F1A">
              <w:t xml:space="preserve"> de sensibilisation</w:t>
            </w:r>
            <w:r w:rsidR="007E54B6">
              <w:t xml:space="preserve"> visant à changer le regard </w:t>
            </w:r>
            <w:r w:rsidR="00142829">
              <w:t>que porte</w:t>
            </w:r>
            <w:r w:rsidR="007E54B6">
              <w:t xml:space="preserve"> société française </w:t>
            </w:r>
            <w:r w:rsidR="00142829">
              <w:t>sur les</w:t>
            </w:r>
            <w:r w:rsidR="007E54B6">
              <w:t xml:space="preserve"> personnes en situation de handicap </w:t>
            </w:r>
            <w:r w:rsidR="00FB416E">
              <w:t xml:space="preserve">en </w:t>
            </w:r>
            <w:r w:rsidR="007E54B6">
              <w:t>c</w:t>
            </w:r>
            <w:r w:rsidR="00FB416E">
              <w:t xml:space="preserve">ombattant les préjugés et stéréotypes. </w:t>
            </w:r>
          </w:p>
          <w:p w:rsidR="001E26C4" w:rsidRPr="00FB416E" w:rsidRDefault="00FB416E" w:rsidP="00027EF9">
            <w:pPr>
              <w:pStyle w:val="ListParagraph"/>
              <w:widowControl w:val="0"/>
              <w:numPr>
                <w:ilvl w:val="0"/>
                <w:numId w:val="5"/>
              </w:numPr>
              <w:autoSpaceDE w:val="0"/>
              <w:autoSpaceDN w:val="0"/>
              <w:spacing w:after="20" w:line="259" w:lineRule="auto"/>
              <w:ind w:right="113"/>
              <w:contextualSpacing w:val="0"/>
              <w:jc w:val="both"/>
            </w:pPr>
            <w:r>
              <w:t xml:space="preserve">Promouvoir </w:t>
            </w:r>
            <w:r w:rsidR="00AD2C19" w:rsidRPr="00FB416E">
              <w:t>la diversité des capacités, en montrant que les personnes en situation de handicap sont</w:t>
            </w:r>
            <w:r w:rsidR="007E54B6" w:rsidRPr="00FB416E">
              <w:t xml:space="preserve"> </w:t>
            </w:r>
            <w:r>
              <w:t xml:space="preserve">« capables autrement », via notamment les médias audiovisuels. </w:t>
            </w:r>
          </w:p>
          <w:p w:rsidR="001E26C4" w:rsidRDefault="001E26C4" w:rsidP="00F85197">
            <w:pPr>
              <w:spacing w:after="20" w:line="259" w:lineRule="auto"/>
              <w:jc w:val="both"/>
            </w:pPr>
          </w:p>
        </w:tc>
      </w:tr>
    </w:tbl>
    <w:p w:rsidR="003C44B3" w:rsidRDefault="003C44B3" w:rsidP="00F85197">
      <w:pPr>
        <w:spacing w:after="20"/>
        <w:rPr>
          <w:rFonts w:asciiTheme="majorHAnsi" w:eastAsiaTheme="majorEastAsia" w:hAnsiTheme="majorHAnsi" w:cstheme="majorBidi"/>
          <w:b/>
          <w:i/>
          <w:color w:val="2F5496" w:themeColor="accent5" w:themeShade="BF"/>
          <w:sz w:val="26"/>
          <w:lang w:eastAsia="en-GB"/>
        </w:rPr>
      </w:pPr>
      <w:r>
        <w:br w:type="page"/>
      </w:r>
    </w:p>
    <w:p w:rsidR="00E14192" w:rsidRDefault="00E14192" w:rsidP="007227BF">
      <w:pPr>
        <w:pStyle w:val="Heading3"/>
      </w:pPr>
      <w:bookmarkStart w:id="29" w:name="_Toc29546065"/>
      <w:r>
        <w:lastRenderedPageBreak/>
        <w:t>Article 9</w:t>
      </w:r>
      <w:r w:rsidR="00181EC2">
        <w:t xml:space="preserve"> </w:t>
      </w:r>
      <w:r>
        <w:t>– Accessibilité</w:t>
      </w:r>
      <w:bookmarkEnd w:id="27"/>
      <w:bookmarkEnd w:id="29"/>
      <w:r w:rsidR="00347E8C">
        <w:t xml:space="preserve"> </w:t>
      </w:r>
    </w:p>
    <w:p w:rsidR="00373C0E" w:rsidRDefault="00373C0E" w:rsidP="00F85197">
      <w:pPr>
        <w:spacing w:after="20"/>
        <w:jc w:val="both"/>
        <w:rPr>
          <w:lang w:eastAsia="en-GB"/>
        </w:rPr>
      </w:pPr>
    </w:p>
    <w:p w:rsidR="00E712A2" w:rsidRDefault="00E14192" w:rsidP="00F85197">
      <w:pPr>
        <w:spacing w:after="20"/>
        <w:jc w:val="both"/>
        <w:rPr>
          <w:lang w:eastAsia="en-GB"/>
        </w:rPr>
      </w:pPr>
      <w:r>
        <w:rPr>
          <w:lang w:eastAsia="en-GB"/>
        </w:rPr>
        <w:t xml:space="preserve">L’accessibilité </w:t>
      </w:r>
      <w:r w:rsidR="00086B67">
        <w:rPr>
          <w:lang w:eastAsia="en-GB"/>
        </w:rPr>
        <w:t>au sens de</w:t>
      </w:r>
      <w:r>
        <w:rPr>
          <w:lang w:eastAsia="en-GB"/>
        </w:rPr>
        <w:t xml:space="preserve"> l’article 9 doit être croisée avec </w:t>
      </w:r>
      <w:r w:rsidR="00086B67">
        <w:rPr>
          <w:lang w:eastAsia="en-GB"/>
        </w:rPr>
        <w:t>la notion</w:t>
      </w:r>
      <w:r>
        <w:rPr>
          <w:lang w:eastAsia="en-GB"/>
        </w:rPr>
        <w:t xml:space="preserve"> de </w:t>
      </w:r>
      <w:r w:rsidRPr="00086B67">
        <w:rPr>
          <w:b/>
          <w:lang w:eastAsia="en-GB"/>
        </w:rPr>
        <w:t>conception universelle</w:t>
      </w:r>
      <w:r>
        <w:rPr>
          <w:lang w:eastAsia="en-GB"/>
        </w:rPr>
        <w:t>, définie à l’article 2</w:t>
      </w:r>
      <w:r w:rsidR="00086B67">
        <w:rPr>
          <w:lang w:eastAsia="en-GB"/>
        </w:rPr>
        <w:t xml:space="preserve">, qui </w:t>
      </w:r>
      <w:r>
        <w:rPr>
          <w:lang w:eastAsia="en-GB"/>
        </w:rPr>
        <w:t xml:space="preserve">concerne </w:t>
      </w:r>
      <w:r w:rsidR="00E712A2">
        <w:rPr>
          <w:lang w:eastAsia="en-GB"/>
        </w:rPr>
        <w:t xml:space="preserve">tous les aspects de la vie </w:t>
      </w:r>
      <w:r w:rsidR="00670019">
        <w:rPr>
          <w:lang w:eastAsia="en-GB"/>
        </w:rPr>
        <w:t xml:space="preserve">des personnes </w:t>
      </w:r>
      <w:r w:rsidR="00E712A2">
        <w:rPr>
          <w:lang w:eastAsia="en-GB"/>
        </w:rPr>
        <w:t>et de l’environnement</w:t>
      </w:r>
      <w:r w:rsidR="00670019">
        <w:rPr>
          <w:lang w:eastAsia="en-GB"/>
        </w:rPr>
        <w:t xml:space="preserve"> en général</w:t>
      </w:r>
      <w:r w:rsidR="00086B67">
        <w:rPr>
          <w:lang w:eastAsia="en-GB"/>
        </w:rPr>
        <w:t xml:space="preserve"> : </w:t>
      </w:r>
      <w:r>
        <w:rPr>
          <w:lang w:eastAsia="en-GB"/>
        </w:rPr>
        <w:t>cadre bâti</w:t>
      </w:r>
      <w:r w:rsidR="00E712A2">
        <w:rPr>
          <w:lang w:eastAsia="en-GB"/>
        </w:rPr>
        <w:t>, logement,</w:t>
      </w:r>
      <w:r w:rsidR="00A30912">
        <w:rPr>
          <w:lang w:eastAsia="en-GB"/>
        </w:rPr>
        <w:t xml:space="preserve"> chaî</w:t>
      </w:r>
      <w:r>
        <w:rPr>
          <w:lang w:eastAsia="en-GB"/>
        </w:rPr>
        <w:t>ne de déplacement</w:t>
      </w:r>
      <w:r w:rsidR="00E712A2">
        <w:rPr>
          <w:lang w:eastAsia="en-GB"/>
        </w:rPr>
        <w:t>,</w:t>
      </w:r>
      <w:r>
        <w:rPr>
          <w:lang w:eastAsia="en-GB"/>
        </w:rPr>
        <w:t xml:space="preserve"> accès aux services</w:t>
      </w:r>
      <w:r w:rsidR="00670019">
        <w:rPr>
          <w:lang w:eastAsia="en-GB"/>
        </w:rPr>
        <w:t xml:space="preserve"> </w:t>
      </w:r>
      <w:r w:rsidR="00E712A2">
        <w:rPr>
          <w:lang w:eastAsia="en-GB"/>
        </w:rPr>
        <w:t>en général</w:t>
      </w:r>
      <w:r>
        <w:rPr>
          <w:lang w:eastAsia="en-GB"/>
        </w:rPr>
        <w:t xml:space="preserve">, </w:t>
      </w:r>
      <w:r w:rsidR="00670019">
        <w:rPr>
          <w:lang w:eastAsia="en-GB"/>
        </w:rPr>
        <w:t>en</w:t>
      </w:r>
      <w:r w:rsidR="00E712A2">
        <w:rPr>
          <w:lang w:eastAsia="en-GB"/>
        </w:rPr>
        <w:t xml:space="preserve">semble des instruments </w:t>
      </w:r>
      <w:r>
        <w:rPr>
          <w:lang w:eastAsia="en-GB"/>
        </w:rPr>
        <w:t>numériques.</w:t>
      </w:r>
    </w:p>
    <w:p w:rsidR="00F51AE1" w:rsidRDefault="00F51AE1" w:rsidP="00F51AE1">
      <w:pPr>
        <w:spacing w:after="20"/>
        <w:jc w:val="both"/>
        <w:rPr>
          <w:lang w:eastAsia="en-GB"/>
        </w:rPr>
      </w:pPr>
      <w:r>
        <w:rPr>
          <w:lang w:eastAsia="en-GB"/>
        </w:rPr>
        <w:t xml:space="preserve">Les décideurs publics et privés n’ont toujours pas compris que l’accessibilité universelle est </w:t>
      </w:r>
      <w:r w:rsidRPr="00B40C84">
        <w:rPr>
          <w:b/>
          <w:lang w:eastAsia="en-GB"/>
        </w:rPr>
        <w:t xml:space="preserve">primordiale </w:t>
      </w:r>
      <w:r w:rsidRPr="00276AD7">
        <w:rPr>
          <w:lang w:eastAsia="en-GB"/>
        </w:rPr>
        <w:t>car elle permet la</w:t>
      </w:r>
      <w:r w:rsidRPr="00B40C84">
        <w:rPr>
          <w:b/>
          <w:lang w:eastAsia="en-GB"/>
        </w:rPr>
        <w:t xml:space="preserve"> jouissance effective des droits </w:t>
      </w:r>
      <w:r w:rsidRPr="00276AD7">
        <w:rPr>
          <w:lang w:eastAsia="en-GB"/>
        </w:rPr>
        <w:t>des personnes handicapées, sur la base de</w:t>
      </w:r>
      <w:r w:rsidRPr="00B40C84">
        <w:rPr>
          <w:b/>
          <w:lang w:eastAsia="en-GB"/>
        </w:rPr>
        <w:t xml:space="preserve"> l’égalité</w:t>
      </w:r>
      <w:r>
        <w:rPr>
          <w:lang w:eastAsia="en-GB"/>
        </w:rPr>
        <w:t xml:space="preserve">. Les acteurs de la </w:t>
      </w:r>
      <w:r w:rsidR="00086B67">
        <w:rPr>
          <w:lang w:eastAsia="en-GB"/>
        </w:rPr>
        <w:t>s</w:t>
      </w:r>
      <w:r>
        <w:rPr>
          <w:lang w:eastAsia="en-GB"/>
        </w:rPr>
        <w:t>ociété française</w:t>
      </w:r>
      <w:r w:rsidRPr="00B40C84">
        <w:rPr>
          <w:b/>
          <w:lang w:eastAsia="en-GB"/>
        </w:rPr>
        <w:t xml:space="preserve"> </w:t>
      </w:r>
      <w:r>
        <w:rPr>
          <w:b/>
          <w:lang w:eastAsia="en-GB"/>
        </w:rPr>
        <w:t xml:space="preserve">ne se sont absolument pas approprié ce </w:t>
      </w:r>
      <w:r w:rsidRPr="00B40C84">
        <w:rPr>
          <w:b/>
          <w:lang w:eastAsia="en-GB"/>
        </w:rPr>
        <w:t>principe transversal</w:t>
      </w:r>
      <w:r>
        <w:rPr>
          <w:lang w:eastAsia="en-GB"/>
        </w:rPr>
        <w:t xml:space="preserve"> qui tend à garantir de nombreux autres droits spécifiques énoncés dans la Convention. </w:t>
      </w:r>
    </w:p>
    <w:p w:rsidR="00373C0E" w:rsidRDefault="00373C0E" w:rsidP="00F85197">
      <w:pPr>
        <w:spacing w:after="20"/>
        <w:jc w:val="both"/>
        <w:rPr>
          <w:b/>
          <w:sz w:val="16"/>
          <w:szCs w:val="16"/>
          <w:u w:val="single"/>
          <w:lang w:eastAsia="en-GB"/>
        </w:rPr>
      </w:pPr>
    </w:p>
    <w:p w:rsidR="002A31D2" w:rsidRPr="00A41F3A" w:rsidRDefault="002A31D2" w:rsidP="00F85197">
      <w:pPr>
        <w:spacing w:after="20"/>
        <w:jc w:val="both"/>
        <w:rPr>
          <w:b/>
          <w:sz w:val="16"/>
          <w:szCs w:val="16"/>
          <w:u w:val="single"/>
          <w:lang w:eastAsia="en-GB"/>
        </w:rPr>
      </w:pPr>
    </w:p>
    <w:p w:rsidR="00E14192" w:rsidRDefault="00E14192" w:rsidP="00F85197">
      <w:pPr>
        <w:pStyle w:val="Heading4"/>
        <w:spacing w:before="0" w:after="20"/>
        <w:ind w:left="708"/>
        <w:rPr>
          <w:lang w:eastAsia="en-GB"/>
        </w:rPr>
      </w:pPr>
      <w:r w:rsidRPr="007E0299">
        <w:rPr>
          <w:lang w:eastAsia="en-GB"/>
        </w:rPr>
        <w:t xml:space="preserve">Les établissements recevant du public (ERP) </w:t>
      </w:r>
    </w:p>
    <w:p w:rsidR="00E14192" w:rsidRDefault="00E14192" w:rsidP="00F85197">
      <w:pPr>
        <w:spacing w:after="20"/>
        <w:jc w:val="both"/>
        <w:rPr>
          <w:sz w:val="16"/>
          <w:szCs w:val="16"/>
          <w:lang w:eastAsia="en-GB"/>
        </w:rPr>
      </w:pPr>
    </w:p>
    <w:p w:rsidR="00F51AE1" w:rsidRDefault="00F51AE1" w:rsidP="00F51AE1">
      <w:pPr>
        <w:spacing w:after="20"/>
        <w:jc w:val="both"/>
        <w:rPr>
          <w:lang w:eastAsia="en-GB"/>
        </w:rPr>
      </w:pPr>
      <w:r w:rsidRPr="001E4013">
        <w:rPr>
          <w:lang w:eastAsia="en-GB"/>
        </w:rPr>
        <w:t>La réforme de 2014</w:t>
      </w:r>
      <w:r w:rsidR="001E4013" w:rsidRPr="001E4013">
        <w:rPr>
          <w:rStyle w:val="EndnoteReference"/>
          <w:lang w:eastAsia="en-GB"/>
        </w:rPr>
        <w:endnoteReference w:id="23"/>
      </w:r>
      <w:r w:rsidRPr="001E4013">
        <w:rPr>
          <w:lang w:eastAsia="en-GB"/>
        </w:rPr>
        <w:t xml:space="preserve"> visant</w:t>
      </w:r>
      <w:r>
        <w:rPr>
          <w:lang w:eastAsia="en-GB"/>
        </w:rPr>
        <w:t xml:space="preserve"> à rendre les </w:t>
      </w:r>
      <w:r>
        <w:rPr>
          <w:b/>
          <w:lang w:eastAsia="en-GB"/>
        </w:rPr>
        <w:t>ERP</w:t>
      </w:r>
      <w:r>
        <w:rPr>
          <w:lang w:eastAsia="en-GB"/>
        </w:rPr>
        <w:t xml:space="preserve"> </w:t>
      </w:r>
      <w:r w:rsidRPr="00270D9F">
        <w:rPr>
          <w:b/>
          <w:lang w:eastAsia="en-GB"/>
        </w:rPr>
        <w:t>existants</w:t>
      </w:r>
      <w:r>
        <w:rPr>
          <w:lang w:eastAsia="en-GB"/>
        </w:rPr>
        <w:t xml:space="preserve"> accessibles a fait fortement régresser l’objectif initial de 2005</w:t>
      </w:r>
      <w:r w:rsidR="00C64229">
        <w:rPr>
          <w:lang w:eastAsia="en-GB"/>
        </w:rPr>
        <w:t xml:space="preserve"> avec de</w:t>
      </w:r>
      <w:r>
        <w:rPr>
          <w:lang w:eastAsia="en-GB"/>
        </w:rPr>
        <w:t xml:space="preserve"> multiples possibilités de dérogations et </w:t>
      </w:r>
      <w:r w:rsidR="00C64229">
        <w:rPr>
          <w:lang w:eastAsia="en-GB"/>
        </w:rPr>
        <w:t xml:space="preserve">le </w:t>
      </w:r>
      <w:r>
        <w:rPr>
          <w:lang w:eastAsia="en-GB"/>
        </w:rPr>
        <w:t xml:space="preserve">non-respect des délais impartis pour </w:t>
      </w:r>
      <w:r w:rsidRPr="00C0322A">
        <w:rPr>
          <w:lang w:eastAsia="en-GB"/>
        </w:rPr>
        <w:t xml:space="preserve">les </w:t>
      </w:r>
      <w:r w:rsidRPr="00086B67">
        <w:rPr>
          <w:rStyle w:val="Emphasis"/>
          <w:i w:val="0"/>
        </w:rPr>
        <w:t>agendas d'accessibilité programmée (Ad’Ap)</w:t>
      </w:r>
      <w:r w:rsidR="00C64229">
        <w:rPr>
          <w:rStyle w:val="Emphasis"/>
          <w:i w:val="0"/>
        </w:rPr>
        <w:t xml:space="preserve">. Par conséquent, </w:t>
      </w:r>
      <w:r w:rsidRPr="00C0322A">
        <w:rPr>
          <w:lang w:eastAsia="en-GB"/>
        </w:rPr>
        <w:t xml:space="preserve">de nombreux commerces de </w:t>
      </w:r>
      <w:r>
        <w:rPr>
          <w:lang w:eastAsia="en-GB"/>
        </w:rPr>
        <w:t xml:space="preserve">proximité </w:t>
      </w:r>
      <w:r w:rsidR="00C64229">
        <w:rPr>
          <w:lang w:eastAsia="en-GB"/>
        </w:rPr>
        <w:t>ne sont toujours pas</w:t>
      </w:r>
      <w:r>
        <w:rPr>
          <w:lang w:eastAsia="en-GB"/>
        </w:rPr>
        <w:t xml:space="preserve"> accessibles</w:t>
      </w:r>
      <w:r w:rsidR="00C64229">
        <w:rPr>
          <w:lang w:eastAsia="en-GB"/>
        </w:rPr>
        <w:t xml:space="preserve"> aujourd’hui.</w:t>
      </w:r>
    </w:p>
    <w:p w:rsidR="00086B67" w:rsidRDefault="00086B67" w:rsidP="00F51AE1">
      <w:pPr>
        <w:spacing w:after="20"/>
        <w:jc w:val="both"/>
        <w:rPr>
          <w:lang w:eastAsia="en-GB"/>
        </w:rPr>
      </w:pPr>
    </w:p>
    <w:p w:rsidR="00F51AE1" w:rsidRDefault="00F51AE1" w:rsidP="00F51AE1">
      <w:pPr>
        <w:spacing w:after="20"/>
        <w:jc w:val="both"/>
        <w:rPr>
          <w:lang w:eastAsia="en-GB"/>
        </w:rPr>
      </w:pPr>
      <w:r>
        <w:rPr>
          <w:lang w:eastAsia="en-GB"/>
        </w:rPr>
        <w:t xml:space="preserve">Concernant les </w:t>
      </w:r>
      <w:r w:rsidRPr="00270D9F">
        <w:rPr>
          <w:b/>
          <w:lang w:eastAsia="en-GB"/>
        </w:rPr>
        <w:t>ERP neufs,</w:t>
      </w:r>
      <w:r>
        <w:rPr>
          <w:lang w:eastAsia="en-GB"/>
        </w:rPr>
        <w:t xml:space="preserve"> </w:t>
      </w:r>
      <w:r w:rsidR="00C64229">
        <w:rPr>
          <w:lang w:eastAsia="en-GB"/>
        </w:rPr>
        <w:t xml:space="preserve">même si </w:t>
      </w:r>
      <w:r>
        <w:rPr>
          <w:lang w:eastAsia="en-GB"/>
        </w:rPr>
        <w:t>la situation s’est am</w:t>
      </w:r>
      <w:r w:rsidR="002A31D2">
        <w:rPr>
          <w:lang w:eastAsia="en-GB"/>
        </w:rPr>
        <w:t xml:space="preserve">éliorée depuis la loi de 2005, </w:t>
      </w:r>
      <w:r w:rsidR="00C64229">
        <w:rPr>
          <w:lang w:eastAsia="en-GB"/>
        </w:rPr>
        <w:t>reste que</w:t>
      </w:r>
      <w:r>
        <w:rPr>
          <w:lang w:eastAsia="en-GB"/>
        </w:rPr>
        <w:t xml:space="preserve"> des malfaçons sont </w:t>
      </w:r>
      <w:r w:rsidR="00C64229">
        <w:rPr>
          <w:lang w:eastAsia="en-GB"/>
        </w:rPr>
        <w:t xml:space="preserve">encore </w:t>
      </w:r>
      <w:r>
        <w:rPr>
          <w:lang w:eastAsia="en-GB"/>
        </w:rPr>
        <w:t>à déplorer en raison du manque de formation des professionnels du cadre bâti</w:t>
      </w:r>
      <w:r>
        <w:rPr>
          <w:rStyle w:val="EndnoteReference"/>
          <w:lang w:eastAsia="en-GB"/>
        </w:rPr>
        <w:endnoteReference w:id="24"/>
      </w:r>
      <w:r>
        <w:rPr>
          <w:lang w:eastAsia="en-GB"/>
        </w:rPr>
        <w:t xml:space="preserve">. </w:t>
      </w:r>
    </w:p>
    <w:p w:rsidR="00F51AE1" w:rsidRPr="00A41F3A" w:rsidRDefault="00F51AE1" w:rsidP="00F85197">
      <w:pPr>
        <w:spacing w:after="20"/>
        <w:jc w:val="both"/>
        <w:rPr>
          <w:sz w:val="16"/>
          <w:szCs w:val="16"/>
          <w:lang w:eastAsia="en-GB"/>
        </w:rPr>
      </w:pPr>
    </w:p>
    <w:p w:rsidR="00E14192" w:rsidRDefault="00E14192" w:rsidP="00F85197">
      <w:pPr>
        <w:pStyle w:val="Heading4"/>
        <w:spacing w:before="0" w:after="20"/>
        <w:ind w:left="708"/>
        <w:rPr>
          <w:lang w:eastAsia="en-GB"/>
        </w:rPr>
      </w:pPr>
      <w:r w:rsidRPr="007E0299">
        <w:rPr>
          <w:lang w:eastAsia="en-GB"/>
        </w:rPr>
        <w:t>Les logements privés</w:t>
      </w:r>
    </w:p>
    <w:p w:rsidR="00BE7A5B" w:rsidRPr="00A41F3A" w:rsidRDefault="00BE7A5B" w:rsidP="00F85197">
      <w:pPr>
        <w:spacing w:after="20"/>
        <w:rPr>
          <w:sz w:val="16"/>
          <w:szCs w:val="16"/>
          <w:lang w:eastAsia="en-GB"/>
        </w:rPr>
      </w:pPr>
    </w:p>
    <w:p w:rsidR="00E14192" w:rsidRDefault="00A05931" w:rsidP="00F85197">
      <w:pPr>
        <w:spacing w:after="20"/>
        <w:jc w:val="both"/>
        <w:rPr>
          <w:lang w:eastAsia="en-GB"/>
        </w:rPr>
      </w:pPr>
      <w:r>
        <w:rPr>
          <w:b/>
          <w:lang w:eastAsia="fr-FR"/>
        </w:rPr>
        <w:t>L</w:t>
      </w:r>
      <w:r w:rsidR="00E14192" w:rsidRPr="003813C7">
        <w:rPr>
          <w:b/>
          <w:lang w:eastAsia="fr-FR"/>
        </w:rPr>
        <w:t>a loi ELAN</w:t>
      </w:r>
      <w:r w:rsidR="00E14192">
        <w:rPr>
          <w:rStyle w:val="EndnoteReference"/>
        </w:rPr>
        <w:endnoteReference w:id="25"/>
      </w:r>
      <w:r w:rsidR="006407FB">
        <w:rPr>
          <w:lang w:eastAsia="fr-FR"/>
        </w:rPr>
        <w:t xml:space="preserve"> </w:t>
      </w:r>
      <w:r w:rsidR="00086B67">
        <w:rPr>
          <w:lang w:eastAsia="fr-FR"/>
        </w:rPr>
        <w:t xml:space="preserve">de </w:t>
      </w:r>
      <w:r w:rsidR="0052153B">
        <w:rPr>
          <w:lang w:eastAsia="fr-FR"/>
        </w:rPr>
        <w:t xml:space="preserve">2018 </w:t>
      </w:r>
      <w:r w:rsidR="00E14192">
        <w:rPr>
          <w:lang w:eastAsia="fr-FR"/>
        </w:rPr>
        <w:t xml:space="preserve">réduit </w:t>
      </w:r>
      <w:r w:rsidR="0052153B">
        <w:rPr>
          <w:lang w:eastAsia="fr-FR"/>
        </w:rPr>
        <w:t xml:space="preserve">de 100% </w:t>
      </w:r>
      <w:r w:rsidR="00E14192">
        <w:rPr>
          <w:lang w:eastAsia="fr-FR"/>
        </w:rPr>
        <w:t>à 20% le nombre de logements accessibles</w:t>
      </w:r>
      <w:r w:rsidR="00E14192">
        <w:t xml:space="preserve">, </w:t>
      </w:r>
      <w:r w:rsidR="00E14192" w:rsidRPr="00E10FDA">
        <w:t>les autres logements devant simplement répondre à une condition d’évolutivité</w:t>
      </w:r>
      <w:r w:rsidR="00E14192">
        <w:t xml:space="preserve">. Cela constitue une </w:t>
      </w:r>
      <w:r w:rsidR="003B6854" w:rsidRPr="003B6854">
        <w:rPr>
          <w:b/>
        </w:rPr>
        <w:t>grave</w:t>
      </w:r>
      <w:r w:rsidR="003B6854">
        <w:t xml:space="preserve"> </w:t>
      </w:r>
      <w:r w:rsidR="00E14192" w:rsidRPr="003813C7">
        <w:rPr>
          <w:b/>
        </w:rPr>
        <w:lastRenderedPageBreak/>
        <w:t>rég</w:t>
      </w:r>
      <w:r w:rsidR="00E14192" w:rsidRPr="003B6854">
        <w:rPr>
          <w:b/>
        </w:rPr>
        <w:t xml:space="preserve">ression </w:t>
      </w:r>
      <w:r w:rsidR="006407FB" w:rsidRPr="003B6854">
        <w:rPr>
          <w:b/>
        </w:rPr>
        <w:t>des</w:t>
      </w:r>
      <w:r w:rsidR="00E14192" w:rsidRPr="003B6854">
        <w:rPr>
          <w:b/>
        </w:rPr>
        <w:t xml:space="preserve"> droits</w:t>
      </w:r>
      <w:r w:rsidR="00E14192">
        <w:t xml:space="preserve"> </w:t>
      </w:r>
      <w:r w:rsidR="006407FB">
        <w:t>pour les</w:t>
      </w:r>
      <w:r w:rsidR="00E14192">
        <w:t xml:space="preserve"> personnes handicapées, </w:t>
      </w:r>
      <w:r w:rsidR="006407FB">
        <w:t>les plaçant dans une situation d’</w:t>
      </w:r>
      <w:r w:rsidR="00E14192" w:rsidRPr="009E45DE">
        <w:rPr>
          <w:b/>
        </w:rPr>
        <w:t>insécurité juridique</w:t>
      </w:r>
      <w:r w:rsidR="00347E8C">
        <w:rPr>
          <w:b/>
        </w:rPr>
        <w:t xml:space="preserve">. </w:t>
      </w:r>
      <w:r w:rsidR="00347E8C" w:rsidRPr="00A41F3A">
        <w:t xml:space="preserve">N’ayant plus la liberté de choisir leur domicile, cette loi est un </w:t>
      </w:r>
      <w:r w:rsidR="00347E8C" w:rsidRPr="00472066">
        <w:t>f</w:t>
      </w:r>
      <w:r w:rsidR="00347E8C">
        <w:t>rein à l’autonomie de vie d</w:t>
      </w:r>
      <w:r w:rsidR="0047645D">
        <w:t>es personnes et cré</w:t>
      </w:r>
      <w:r w:rsidR="00347E8C">
        <w:t>e une</w:t>
      </w:r>
      <w:r w:rsidR="00E14192">
        <w:t xml:space="preserve"> </w:t>
      </w:r>
      <w:r w:rsidR="00E14192" w:rsidRPr="003813C7">
        <w:rPr>
          <w:b/>
        </w:rPr>
        <w:t>rupture d’égalité</w:t>
      </w:r>
      <w:r w:rsidR="00347E8C">
        <w:t xml:space="preserve">. </w:t>
      </w:r>
    </w:p>
    <w:p w:rsidR="00E14192" w:rsidRPr="00A41F3A" w:rsidRDefault="00E14192" w:rsidP="00F85197">
      <w:pPr>
        <w:spacing w:after="20"/>
        <w:jc w:val="both"/>
        <w:rPr>
          <w:sz w:val="16"/>
          <w:szCs w:val="16"/>
          <w:lang w:eastAsia="en-GB"/>
        </w:rPr>
      </w:pPr>
    </w:p>
    <w:p w:rsidR="00E14192" w:rsidRDefault="00E14192" w:rsidP="00F85197">
      <w:pPr>
        <w:pStyle w:val="Heading4"/>
        <w:spacing w:before="0" w:after="20"/>
        <w:ind w:left="708"/>
        <w:rPr>
          <w:lang w:eastAsia="en-GB"/>
        </w:rPr>
      </w:pPr>
      <w:r w:rsidRPr="007E0299">
        <w:rPr>
          <w:lang w:eastAsia="en-GB"/>
        </w:rPr>
        <w:t xml:space="preserve">Les transports </w:t>
      </w:r>
    </w:p>
    <w:p w:rsidR="00BE7A5B" w:rsidRPr="00A41F3A" w:rsidRDefault="00BE7A5B" w:rsidP="00F85197">
      <w:pPr>
        <w:spacing w:after="20"/>
        <w:rPr>
          <w:sz w:val="16"/>
          <w:szCs w:val="16"/>
          <w:lang w:eastAsia="en-GB"/>
        </w:rPr>
      </w:pPr>
    </w:p>
    <w:p w:rsidR="00F51AE1" w:rsidRDefault="00F51AE1" w:rsidP="00F51AE1">
      <w:pPr>
        <w:spacing w:after="20"/>
        <w:jc w:val="both"/>
        <w:rPr>
          <w:lang w:eastAsia="en-GB"/>
        </w:rPr>
      </w:pPr>
      <w:r>
        <w:rPr>
          <w:lang w:eastAsia="en-GB"/>
        </w:rPr>
        <w:t xml:space="preserve">La loi de 2005 prévoyait que la </w:t>
      </w:r>
      <w:r w:rsidRPr="00A41F3A">
        <w:rPr>
          <w:b/>
          <w:lang w:eastAsia="en-GB"/>
        </w:rPr>
        <w:t>chaîne de déplacement</w:t>
      </w:r>
      <w:r>
        <w:rPr>
          <w:lang w:eastAsia="en-GB"/>
        </w:rPr>
        <w:t xml:space="preserve"> soit accessible dans sa totalité (transports, cadre bâti, voirie), mais la réforme des Ad’Ap de 2014 a cassé cette logique. En effet, seuls 35 à 40 % des points d’arrêts existants doivent désormais être rendus accessibles. Ainsi, </w:t>
      </w:r>
      <w:r w:rsidR="00DE5CAE">
        <w:rPr>
          <w:lang w:eastAsia="en-GB"/>
        </w:rPr>
        <w:t>malgré</w:t>
      </w:r>
      <w:r>
        <w:rPr>
          <w:lang w:eastAsia="en-GB"/>
        </w:rPr>
        <w:t xml:space="preserve"> de nombreux progrès en matière d’acces</w:t>
      </w:r>
      <w:r w:rsidR="00DE5CAE">
        <w:rPr>
          <w:lang w:eastAsia="en-GB"/>
        </w:rPr>
        <w:t xml:space="preserve">sibilité des transports </w:t>
      </w:r>
      <w:r>
        <w:rPr>
          <w:lang w:eastAsia="en-GB"/>
        </w:rPr>
        <w:t>pour le</w:t>
      </w:r>
      <w:r w:rsidR="000436D5">
        <w:rPr>
          <w:lang w:eastAsia="en-GB"/>
        </w:rPr>
        <w:t>s nouvelles constructions</w:t>
      </w:r>
      <w:r>
        <w:rPr>
          <w:lang w:eastAsia="en-GB"/>
        </w:rPr>
        <w:t>, reste que des difficultés persistent quant à la mise en accessibilité des réseaux existants (3% des stations de métros à Paris</w:t>
      </w:r>
      <w:r w:rsidR="0047645D">
        <w:rPr>
          <w:lang w:eastAsia="en-GB"/>
        </w:rPr>
        <w:t xml:space="preserve"> seulement sont accessibles</w:t>
      </w:r>
      <w:r>
        <w:rPr>
          <w:lang w:eastAsia="en-GB"/>
        </w:rPr>
        <w:t>). L</w:t>
      </w:r>
      <w:r w:rsidRPr="009E45DE">
        <w:rPr>
          <w:b/>
          <w:lang w:eastAsia="en-GB"/>
        </w:rPr>
        <w:t xml:space="preserve">’accessibilité dans sa totalité </w:t>
      </w:r>
      <w:r>
        <w:rPr>
          <w:lang w:eastAsia="en-GB"/>
        </w:rPr>
        <w:t>de la chaîne de déplacement est remise en cause,</w:t>
      </w:r>
      <w:r>
        <w:t xml:space="preserve"> faute d’une approche transversale axée sur l’intermodalité. </w:t>
      </w:r>
    </w:p>
    <w:p w:rsidR="00E14192" w:rsidRPr="00A41F3A" w:rsidRDefault="00E14192" w:rsidP="00F85197">
      <w:pPr>
        <w:spacing w:after="20"/>
        <w:jc w:val="both"/>
        <w:rPr>
          <w:sz w:val="16"/>
          <w:szCs w:val="16"/>
        </w:rPr>
      </w:pPr>
    </w:p>
    <w:p w:rsidR="00AB7A4A" w:rsidRPr="00BE7A5B" w:rsidRDefault="00AB7A4A" w:rsidP="00AB7A4A">
      <w:pPr>
        <w:pStyle w:val="Heading4"/>
        <w:spacing w:before="0" w:after="20"/>
        <w:ind w:left="708"/>
      </w:pPr>
      <w:r w:rsidRPr="007E0299">
        <w:t>L’accessibilité numérique</w:t>
      </w:r>
    </w:p>
    <w:p w:rsidR="00AB7A4A" w:rsidRPr="00A41F3A" w:rsidRDefault="00AB7A4A" w:rsidP="00AB7A4A">
      <w:pPr>
        <w:spacing w:after="20"/>
        <w:jc w:val="both"/>
        <w:rPr>
          <w:sz w:val="16"/>
          <w:szCs w:val="16"/>
        </w:rPr>
      </w:pPr>
    </w:p>
    <w:p w:rsidR="00AB7A4A" w:rsidRPr="00BB1B04" w:rsidRDefault="00AB7A4A" w:rsidP="00AB7A4A">
      <w:pPr>
        <w:spacing w:after="20"/>
        <w:jc w:val="both"/>
        <w:rPr>
          <w:lang w:eastAsia="en-GB"/>
        </w:rPr>
      </w:pPr>
      <w:r w:rsidRPr="00BB1B04">
        <w:rPr>
          <w:lang w:eastAsia="en-GB"/>
        </w:rPr>
        <w:t>La problém</w:t>
      </w:r>
      <w:r>
        <w:rPr>
          <w:lang w:eastAsia="en-GB"/>
        </w:rPr>
        <w:t>atique de l’accessibilité inclut</w:t>
      </w:r>
      <w:r w:rsidRPr="00BB1B04">
        <w:rPr>
          <w:lang w:eastAsia="en-GB"/>
        </w:rPr>
        <w:t xml:space="preserve"> celle de la digitalisation généralisée des services publics et privés, qui tend aujourd’hui à éliminer une large partie de la population de toute forme d’accès aux services en général, voire au</w:t>
      </w:r>
      <w:r w:rsidR="009B748B">
        <w:rPr>
          <w:lang w:eastAsia="en-GB"/>
        </w:rPr>
        <w:t>x</w:t>
      </w:r>
      <w:r w:rsidRPr="00BB1B04">
        <w:rPr>
          <w:lang w:eastAsia="en-GB"/>
        </w:rPr>
        <w:t xml:space="preserve"> commerce</w:t>
      </w:r>
      <w:r w:rsidR="009B748B">
        <w:rPr>
          <w:lang w:eastAsia="en-GB"/>
        </w:rPr>
        <w:t>s</w:t>
      </w:r>
      <w:r w:rsidRPr="00BB1B04">
        <w:rPr>
          <w:lang w:eastAsia="en-GB"/>
        </w:rPr>
        <w:t xml:space="preserve"> de première nécessité.</w:t>
      </w:r>
    </w:p>
    <w:p w:rsidR="00AB7A4A" w:rsidRDefault="00AB7A4A" w:rsidP="00AB7A4A">
      <w:pPr>
        <w:spacing w:after="20"/>
        <w:jc w:val="both"/>
      </w:pPr>
      <w:r>
        <w:t>La directive européenne</w:t>
      </w:r>
      <w:r w:rsidR="009C2120">
        <w:t xml:space="preserve"> de 2016</w:t>
      </w:r>
      <w:r w:rsidR="009B748B">
        <w:rPr>
          <w:rStyle w:val="EndnoteReference"/>
        </w:rPr>
        <w:endnoteReference w:id="26"/>
      </w:r>
      <w:r>
        <w:t xml:space="preserve"> fixant les conditions d’accessibilité a été transposée </w:t>
      </w:r>
      <w:r>
        <w:rPr>
          <w:i/>
        </w:rPr>
        <w:t>à</w:t>
      </w:r>
      <w:r w:rsidRPr="00720E2B">
        <w:rPr>
          <w:i/>
        </w:rPr>
        <w:t xml:space="preserve"> minima </w:t>
      </w:r>
      <w:r>
        <w:t xml:space="preserve">en France, la loi ne répondant donc pas à tous les besoins de compensation des différents handicaps. Le dispositif </w:t>
      </w:r>
      <w:r w:rsidRPr="00CE5ECB">
        <w:t xml:space="preserve">légal est peu contraignant et comporte toujours des voies dérogatoires. </w:t>
      </w:r>
      <w:r w:rsidR="0047645D">
        <w:t>Ainsi, en ce qui concerne les</w:t>
      </w:r>
      <w:r w:rsidRPr="00CE5ECB">
        <w:t xml:space="preserve"> services publics, au moins 95% des sites internet de l'État ne sont toujours pas accessibles en 2018,</w:t>
      </w:r>
      <w:r>
        <w:t xml:space="preserve"> mais aucune sanction dissuasive n'est prévue en cas de manquement des services de l'État. Quant aux entreprises privées, l’obligation d’accessibilité ne concerne que celles dont le chiffre d’affaire excède un certain seuil. </w:t>
      </w:r>
    </w:p>
    <w:p w:rsidR="00AB7A4A" w:rsidRDefault="00AB7A4A" w:rsidP="00AB7A4A">
      <w:pPr>
        <w:spacing w:after="20"/>
        <w:jc w:val="both"/>
      </w:pPr>
      <w:r>
        <w:lastRenderedPageBreak/>
        <w:t xml:space="preserve">En conséquence, si la dématérialisation peut offrir un meilleur accès aux services pour certains, </w:t>
      </w:r>
      <w:r w:rsidRPr="00E327C2">
        <w:rPr>
          <w:b/>
        </w:rPr>
        <w:t>cela va inévitablement exclure une tranche de la population</w:t>
      </w:r>
      <w:r>
        <w:t xml:space="preserve">, surtout si aucune alternative n’est prévue. </w:t>
      </w:r>
    </w:p>
    <w:p w:rsidR="00AB7A4A" w:rsidRDefault="00AB7A4A" w:rsidP="00AB7A4A">
      <w:pPr>
        <w:spacing w:after="20"/>
        <w:jc w:val="both"/>
        <w:rPr>
          <w:sz w:val="16"/>
          <w:szCs w:val="16"/>
        </w:rPr>
      </w:pPr>
    </w:p>
    <w:p w:rsidR="00AB7A4A" w:rsidRPr="00BE7A5B" w:rsidRDefault="00AB7A4A" w:rsidP="00AB7A4A">
      <w:pPr>
        <w:pStyle w:val="Heading4"/>
        <w:spacing w:before="0" w:after="20"/>
        <w:ind w:left="708"/>
      </w:pPr>
      <w:r w:rsidRPr="007E0299">
        <w:t xml:space="preserve">L’accessibilité </w:t>
      </w:r>
      <w:r>
        <w:t>téléphonique</w:t>
      </w:r>
    </w:p>
    <w:p w:rsidR="00AB7A4A" w:rsidRPr="00A41F3A" w:rsidRDefault="00AB7A4A" w:rsidP="00AB7A4A">
      <w:pPr>
        <w:spacing w:after="20"/>
        <w:jc w:val="both"/>
        <w:rPr>
          <w:sz w:val="16"/>
          <w:szCs w:val="16"/>
        </w:rPr>
      </w:pPr>
    </w:p>
    <w:p w:rsidR="00AB7A4A" w:rsidRDefault="00AB7A4A" w:rsidP="00AB7A4A">
      <w:pPr>
        <w:jc w:val="both"/>
      </w:pPr>
      <w:r>
        <w:t xml:space="preserve">De même, la loi prévoit l’obligation pour les services publics et ces entreprises d’avoir un numéro de téléphone accessible pour les </w:t>
      </w:r>
      <w:r w:rsidRPr="009A5CDE">
        <w:rPr>
          <w:b/>
        </w:rPr>
        <w:t>perso</w:t>
      </w:r>
      <w:r w:rsidR="00733B58">
        <w:rPr>
          <w:b/>
        </w:rPr>
        <w:t xml:space="preserve">nnes sourdes, </w:t>
      </w:r>
      <w:r w:rsidRPr="009A5CDE">
        <w:rPr>
          <w:b/>
        </w:rPr>
        <w:t>malentendantes</w:t>
      </w:r>
      <w:r w:rsidR="00733B58">
        <w:rPr>
          <w:b/>
        </w:rPr>
        <w:t>, sourdaveugles et aphasiques</w:t>
      </w:r>
      <w:r>
        <w:t xml:space="preserve">. A défaut, pour les autres services, il est possible de passer par un service de relais téléphonique qui permet une retransmission soit en langue des signes française, en langue parlée complétée ou en transcription écrite simultanée. </w:t>
      </w:r>
    </w:p>
    <w:p w:rsidR="00AB7A4A" w:rsidRDefault="00AB7A4A" w:rsidP="00AB7A4A">
      <w:pPr>
        <w:jc w:val="both"/>
      </w:pPr>
      <w:r>
        <w:t xml:space="preserve">Cependant, on dénombre quelques problèmes : </w:t>
      </w:r>
    </w:p>
    <w:p w:rsidR="00AB7A4A" w:rsidRDefault="00AB7A4A" w:rsidP="00027EF9">
      <w:pPr>
        <w:pStyle w:val="ListParagraph"/>
        <w:numPr>
          <w:ilvl w:val="0"/>
          <w:numId w:val="12"/>
        </w:numPr>
        <w:spacing w:after="160"/>
        <w:jc w:val="both"/>
      </w:pPr>
      <w:r>
        <w:t>De</w:t>
      </w:r>
      <w:r w:rsidR="00CD3425">
        <w:t>s</w:t>
      </w:r>
      <w:r>
        <w:t xml:space="preserve"> grandes entreprises</w:t>
      </w:r>
      <w:r w:rsidR="00733B58">
        <w:t xml:space="preserve"> soumises à l’obligation</w:t>
      </w:r>
      <w:r>
        <w:t xml:space="preserve"> </w:t>
      </w:r>
      <w:r w:rsidR="00CD3425">
        <w:t>sans</w:t>
      </w:r>
      <w:r>
        <w:t xml:space="preserve"> </w:t>
      </w:r>
      <w:r w:rsidR="00A733C7">
        <w:t>numéro de téléphone accessible ;</w:t>
      </w:r>
    </w:p>
    <w:p w:rsidR="00AB7A4A" w:rsidRDefault="00AB7A4A" w:rsidP="00027EF9">
      <w:pPr>
        <w:pStyle w:val="ListParagraph"/>
        <w:numPr>
          <w:ilvl w:val="0"/>
          <w:numId w:val="12"/>
        </w:numPr>
        <w:spacing w:after="160"/>
        <w:jc w:val="both"/>
      </w:pPr>
      <w:r>
        <w:t>Le service de relais téléphonique gratuit qu’une heure par mois et pas encore accessible aux person</w:t>
      </w:r>
      <w:r w:rsidR="00A733C7">
        <w:t>nes aphasiques et sourdaveugles ;</w:t>
      </w:r>
    </w:p>
    <w:p w:rsidR="00AB7A4A" w:rsidRPr="00CD3425" w:rsidRDefault="00AB7A4A" w:rsidP="00027EF9">
      <w:pPr>
        <w:pStyle w:val="ListParagraph"/>
        <w:numPr>
          <w:ilvl w:val="0"/>
          <w:numId w:val="12"/>
        </w:numPr>
        <w:spacing w:after="160"/>
        <w:jc w:val="both"/>
        <w:rPr>
          <w:rFonts w:cstheme="minorHAnsi"/>
        </w:rPr>
      </w:pPr>
      <w:r w:rsidRPr="00086B67">
        <w:rPr>
          <w:rFonts w:cstheme="minorHAnsi"/>
        </w:rPr>
        <w:t xml:space="preserve">Certains opérateurs téléphoniques ont choisi de développer leur propre service de relais </w:t>
      </w:r>
      <w:r w:rsidRPr="00CD3425">
        <w:rPr>
          <w:rFonts w:cstheme="minorHAnsi"/>
        </w:rPr>
        <w:t>téléph</w:t>
      </w:r>
      <w:r w:rsidR="00A733C7" w:rsidRPr="00CD3425">
        <w:rPr>
          <w:rFonts w:cstheme="minorHAnsi"/>
        </w:rPr>
        <w:t xml:space="preserve">onique, </w:t>
      </w:r>
      <w:r w:rsidR="00A04CFD">
        <w:rPr>
          <w:rFonts w:cstheme="minorHAnsi"/>
        </w:rPr>
        <w:t xml:space="preserve">mais il </w:t>
      </w:r>
      <w:r w:rsidR="00A733C7" w:rsidRPr="00CD3425">
        <w:rPr>
          <w:rFonts w:cstheme="minorHAnsi"/>
        </w:rPr>
        <w:t>ne fonctionne pas ;</w:t>
      </w:r>
    </w:p>
    <w:p w:rsidR="00CD3425" w:rsidRPr="002A31D2" w:rsidRDefault="00CD3425" w:rsidP="002A31D2">
      <w:pPr>
        <w:pStyle w:val="ListParagraph"/>
        <w:numPr>
          <w:ilvl w:val="0"/>
          <w:numId w:val="12"/>
        </w:numPr>
        <w:spacing w:after="160"/>
        <w:jc w:val="both"/>
      </w:pPr>
      <w:r w:rsidRPr="00CD3425">
        <w:t xml:space="preserve">Les </w:t>
      </w:r>
      <w:r w:rsidR="00AB7A4A" w:rsidRPr="00CD3425">
        <w:t xml:space="preserve">entreprises </w:t>
      </w:r>
      <w:r w:rsidR="00612229" w:rsidRPr="00CD3425">
        <w:rPr>
          <w:rFonts w:ascii="Calibri" w:hAnsi="Calibri"/>
        </w:rPr>
        <w:t xml:space="preserve">ou les services publics </w:t>
      </w:r>
      <w:r w:rsidR="00AB7A4A" w:rsidRPr="00CD3425">
        <w:t>n’ayant pas de numéro accessible ne sont pas sanctionnés</w:t>
      </w:r>
      <w:r w:rsidR="00612229" w:rsidRPr="00CD3425">
        <w:t xml:space="preserve"> </w:t>
      </w:r>
      <w:r w:rsidR="00612229" w:rsidRPr="00CD3425">
        <w:rPr>
          <w:rFonts w:ascii="Calibri" w:hAnsi="Calibri"/>
        </w:rPr>
        <w:t>contrairement aux opérateurs</w:t>
      </w:r>
      <w:r w:rsidR="00AB7A4A" w:rsidRPr="00CD3425">
        <w:t xml:space="preserve">.  </w:t>
      </w:r>
    </w:p>
    <w:p w:rsidR="00AB7A4A" w:rsidRPr="00274407" w:rsidRDefault="00AB7A4A" w:rsidP="00AB7A4A">
      <w:pPr>
        <w:spacing w:after="20"/>
        <w:jc w:val="both"/>
        <w:rPr>
          <w:b/>
        </w:rPr>
      </w:pPr>
      <w:r w:rsidRPr="00274407">
        <w:rPr>
          <w:b/>
        </w:rPr>
        <w:t xml:space="preserve">Finalement, </w:t>
      </w:r>
      <w:r w:rsidR="00F51AE1">
        <w:rPr>
          <w:b/>
        </w:rPr>
        <w:t xml:space="preserve">depuis 2005, </w:t>
      </w:r>
      <w:r w:rsidRPr="00274407">
        <w:rPr>
          <w:b/>
        </w:rPr>
        <w:t xml:space="preserve">le législateur </w:t>
      </w:r>
      <w:r w:rsidR="00F51AE1">
        <w:rPr>
          <w:b/>
        </w:rPr>
        <w:t>a continuellement fait régresser</w:t>
      </w:r>
      <w:r w:rsidR="00F51AE1" w:rsidRPr="00274407">
        <w:rPr>
          <w:b/>
        </w:rPr>
        <w:t xml:space="preserve"> </w:t>
      </w:r>
      <w:r w:rsidRPr="00274407">
        <w:rPr>
          <w:b/>
        </w:rPr>
        <w:t>l'accessibilité dans son acception universelle comme un droit humain fondamental et premier pour tous. L’expertise d’usage des personnes directement intéressées est systématiquement ignorée des autorités et des administrations. Ain</w:t>
      </w:r>
      <w:r w:rsidR="00050B1E">
        <w:rPr>
          <w:b/>
        </w:rPr>
        <w:t>si, le droit français reste</w:t>
      </w:r>
      <w:r w:rsidRPr="00274407">
        <w:rPr>
          <w:b/>
        </w:rPr>
        <w:t xml:space="preserve"> intégralement no</w:t>
      </w:r>
      <w:r w:rsidR="00050B1E">
        <w:rPr>
          <w:b/>
        </w:rPr>
        <w:t xml:space="preserve">n-conforme à l’article 9, régresse et rend </w:t>
      </w:r>
      <w:r w:rsidRPr="00274407">
        <w:rPr>
          <w:b/>
        </w:rPr>
        <w:t xml:space="preserve">de ce fait impossible la pleine et effective jouissance des droits fondamentaux des personnes handicapées. </w:t>
      </w:r>
    </w:p>
    <w:tbl>
      <w:tblPr>
        <w:tblStyle w:val="GridTable1Light-Accent1"/>
        <w:tblpPr w:leftFromText="141" w:rightFromText="141" w:vertAnchor="text" w:horzAnchor="margin" w:tblpY="-32"/>
        <w:tblW w:w="0" w:type="auto"/>
        <w:tblLook w:val="04A0" w:firstRow="1" w:lastRow="0" w:firstColumn="1" w:lastColumn="0" w:noHBand="0" w:noVBand="1"/>
      </w:tblPr>
      <w:tblGrid>
        <w:gridCol w:w="9062"/>
      </w:tblGrid>
      <w:tr w:rsidR="002A31D2" w:rsidTr="002A31D2">
        <w:trPr>
          <w:cnfStyle w:val="100000000000" w:firstRow="1" w:lastRow="0" w:firstColumn="0" w:lastColumn="0" w:oddVBand="0" w:evenVBand="0" w:oddHBand="0" w:evenHBand="0" w:firstRowFirstColumn="0" w:firstRowLastColumn="0" w:lastRowFirstColumn="0" w:lastRowLastColumn="0"/>
          <w:trHeight w:val="5947"/>
        </w:trPr>
        <w:tc>
          <w:tcPr>
            <w:cnfStyle w:val="001000000000" w:firstRow="0" w:lastRow="0" w:firstColumn="1" w:lastColumn="0" w:oddVBand="0" w:evenVBand="0" w:oddHBand="0" w:evenHBand="0" w:firstRowFirstColumn="0" w:firstRowLastColumn="0" w:lastRowFirstColumn="0" w:lastRowLastColumn="0"/>
            <w:tcW w:w="9062" w:type="dxa"/>
            <w:shd w:val="clear" w:color="auto" w:fill="F2F7FC"/>
          </w:tcPr>
          <w:p w:rsidR="002A31D2" w:rsidRDefault="002A31D2" w:rsidP="002A31D2">
            <w:pPr>
              <w:pStyle w:val="Heading7"/>
              <w:spacing w:before="0" w:after="20" w:line="259" w:lineRule="auto"/>
              <w:outlineLvl w:val="6"/>
              <w:rPr>
                <w:rStyle w:val="Emphasis"/>
                <w:b w:val="0"/>
                <w:bCs w:val="0"/>
                <w:i/>
                <w:iCs/>
              </w:rPr>
            </w:pPr>
            <w:bookmarkStart w:id="30" w:name="_Toc20128119"/>
            <w:r w:rsidRPr="00F2623F">
              <w:rPr>
                <w:rStyle w:val="Emphasis"/>
                <w:i/>
                <w:iCs/>
              </w:rPr>
              <w:lastRenderedPageBreak/>
              <w:t>Recommandations</w:t>
            </w:r>
            <w:bookmarkEnd w:id="30"/>
          </w:p>
          <w:p w:rsidR="002A31D2" w:rsidRPr="002A31D2" w:rsidRDefault="002A31D2" w:rsidP="002A31D2">
            <w:pPr>
              <w:rPr>
                <w:sz w:val="16"/>
                <w:szCs w:val="16"/>
                <w:lang w:eastAsia="en-GB"/>
              </w:rPr>
            </w:pPr>
          </w:p>
          <w:p w:rsidR="002A31D2" w:rsidRDefault="002A31D2" w:rsidP="002A31D2">
            <w:pPr>
              <w:pStyle w:val="ListParagraph"/>
              <w:numPr>
                <w:ilvl w:val="0"/>
                <w:numId w:val="5"/>
              </w:numPr>
              <w:autoSpaceDE w:val="0"/>
              <w:autoSpaceDN w:val="0"/>
              <w:adjustRightInd w:val="0"/>
              <w:spacing w:after="20" w:line="259" w:lineRule="auto"/>
              <w:jc w:val="both"/>
            </w:pPr>
            <w:r>
              <w:t>Inclure la conception universelle dans la mise en œuvre de toutes les politiques publiques et permettre aux acteurs de terrain de comprendre les enjeux de la citoyenneté pour les personnes en situation de handicap.</w:t>
            </w:r>
          </w:p>
          <w:p w:rsidR="002A31D2" w:rsidRDefault="002A31D2" w:rsidP="002A31D2">
            <w:pPr>
              <w:pStyle w:val="ListParagraph"/>
              <w:widowControl w:val="0"/>
              <w:numPr>
                <w:ilvl w:val="0"/>
                <w:numId w:val="5"/>
              </w:numPr>
              <w:autoSpaceDE w:val="0"/>
              <w:autoSpaceDN w:val="0"/>
              <w:spacing w:after="20" w:line="259" w:lineRule="auto"/>
              <w:ind w:right="113"/>
              <w:contextualSpacing w:val="0"/>
              <w:jc w:val="both"/>
            </w:pPr>
            <w:r w:rsidRPr="00591F1A">
              <w:t xml:space="preserve">Élaborer une stratégie nationale d'accessibilité, </w:t>
            </w:r>
            <w:r>
              <w:t xml:space="preserve">avec un authentique et réel pilotage interministériel, et </w:t>
            </w:r>
            <w:r w:rsidRPr="00591F1A">
              <w:t>accompagnée d'un plan d'actions visant à éliminer tous les obstacles</w:t>
            </w:r>
            <w:r>
              <w:t xml:space="preserve"> </w:t>
            </w:r>
            <w:r w:rsidRPr="00591F1A">
              <w:t>dans des délais raisonnables</w:t>
            </w:r>
            <w:r>
              <w:t xml:space="preserve">, notamment pour les ERP existants et les sites internet publics. </w:t>
            </w:r>
          </w:p>
          <w:p w:rsidR="002A31D2" w:rsidRPr="00591F1A" w:rsidRDefault="002A31D2" w:rsidP="002A31D2">
            <w:pPr>
              <w:pStyle w:val="ListParagraph"/>
              <w:widowControl w:val="0"/>
              <w:numPr>
                <w:ilvl w:val="0"/>
                <w:numId w:val="5"/>
              </w:numPr>
              <w:autoSpaceDE w:val="0"/>
              <w:autoSpaceDN w:val="0"/>
              <w:spacing w:after="20" w:line="259" w:lineRule="auto"/>
              <w:ind w:right="113"/>
              <w:contextualSpacing w:val="0"/>
              <w:jc w:val="both"/>
            </w:pPr>
            <w:r>
              <w:t>Lancer une vaste campagne de communication publique sur la handicap et l’accessibilité.</w:t>
            </w:r>
            <w:r w:rsidRPr="00591F1A">
              <w:t xml:space="preserve"> </w:t>
            </w:r>
          </w:p>
          <w:p w:rsidR="002A31D2" w:rsidRPr="00591F1A" w:rsidRDefault="002A31D2" w:rsidP="002A31D2">
            <w:pPr>
              <w:pStyle w:val="ListParagraph"/>
              <w:widowControl w:val="0"/>
              <w:numPr>
                <w:ilvl w:val="0"/>
                <w:numId w:val="5"/>
              </w:numPr>
              <w:autoSpaceDE w:val="0"/>
              <w:autoSpaceDN w:val="0"/>
              <w:spacing w:after="20" w:line="259" w:lineRule="auto"/>
              <w:ind w:right="113"/>
              <w:contextualSpacing w:val="0"/>
              <w:jc w:val="both"/>
            </w:pPr>
            <w:r>
              <w:t>Rendre effective dans les faits l</w:t>
            </w:r>
            <w:r w:rsidR="00CA17DC">
              <w:t xml:space="preserve">es modules sur l’accessibilité, </w:t>
            </w:r>
            <w:r>
              <w:t>obligatoires dans 118 formations initiales.</w:t>
            </w:r>
          </w:p>
          <w:p w:rsidR="002A31D2" w:rsidRPr="00607824" w:rsidRDefault="002A31D2" w:rsidP="00607824">
            <w:pPr>
              <w:pStyle w:val="ListParagraph"/>
              <w:widowControl w:val="0"/>
              <w:numPr>
                <w:ilvl w:val="0"/>
                <w:numId w:val="5"/>
              </w:numPr>
              <w:autoSpaceDE w:val="0"/>
              <w:autoSpaceDN w:val="0"/>
              <w:spacing w:after="20" w:line="259" w:lineRule="auto"/>
              <w:ind w:right="113"/>
              <w:contextualSpacing w:val="0"/>
              <w:jc w:val="both"/>
            </w:pPr>
            <w:r>
              <w:t>Revenir à un objectif légal de</w:t>
            </w:r>
            <w:r w:rsidR="00607824">
              <w:t xml:space="preserve"> 100 % de logements accessibles et </w:t>
            </w:r>
            <w:r w:rsidRPr="00607824">
              <w:t>de continuité de la chaîne de déplacement, notamment en matière de transports et de voirie.</w:t>
            </w:r>
          </w:p>
          <w:p w:rsidR="002A31D2" w:rsidRPr="00591F1A" w:rsidRDefault="002A31D2" w:rsidP="002A31D2">
            <w:pPr>
              <w:pStyle w:val="ListParagraph"/>
              <w:widowControl w:val="0"/>
              <w:numPr>
                <w:ilvl w:val="0"/>
                <w:numId w:val="5"/>
              </w:numPr>
              <w:autoSpaceDE w:val="0"/>
              <w:autoSpaceDN w:val="0"/>
              <w:spacing w:after="20" w:line="259" w:lineRule="auto"/>
              <w:ind w:right="113"/>
              <w:contextualSpacing w:val="0"/>
              <w:jc w:val="both"/>
            </w:pPr>
            <w:r>
              <w:t>Définir un objectif légal d’accessibilité numérique.</w:t>
            </w:r>
          </w:p>
          <w:p w:rsidR="002A31D2" w:rsidRDefault="002A31D2" w:rsidP="002A31D2">
            <w:pPr>
              <w:pStyle w:val="ListParagraph"/>
              <w:widowControl w:val="0"/>
              <w:numPr>
                <w:ilvl w:val="0"/>
                <w:numId w:val="5"/>
              </w:numPr>
              <w:autoSpaceDE w:val="0"/>
              <w:autoSpaceDN w:val="0"/>
              <w:spacing w:after="20" w:line="259" w:lineRule="auto"/>
              <w:ind w:right="113"/>
              <w:contextualSpacing w:val="0"/>
              <w:jc w:val="both"/>
            </w:pPr>
            <w:r>
              <w:t>Rendre accessibles les</w:t>
            </w:r>
            <w:r w:rsidRPr="00591F1A">
              <w:t xml:space="preserve"> informations écrites</w:t>
            </w:r>
            <w:r>
              <w:t xml:space="preserve"> (incluant le </w:t>
            </w:r>
            <w:r w:rsidRPr="00B37175">
              <w:rPr>
                <w:i/>
              </w:rPr>
              <w:t>Facile à lire et à comprendre</w:t>
            </w:r>
            <w:r>
              <w:t>, le braille, les pictogrammes)</w:t>
            </w:r>
            <w:r w:rsidRPr="00591F1A">
              <w:t>, audiovisuelles et électroniques</w:t>
            </w:r>
            <w:r>
              <w:t xml:space="preserve"> </w:t>
            </w:r>
            <w:r w:rsidRPr="00591F1A">
              <w:t>dans les lieux accueillant du public</w:t>
            </w:r>
            <w:r>
              <w:t xml:space="preserve"> et en simplifiant leur usage par tous.</w:t>
            </w:r>
          </w:p>
          <w:p w:rsidR="002A31D2" w:rsidRPr="00373C0E" w:rsidRDefault="002A31D2" w:rsidP="002A31D2">
            <w:pPr>
              <w:pStyle w:val="ListParagraph"/>
              <w:numPr>
                <w:ilvl w:val="0"/>
                <w:numId w:val="5"/>
              </w:numPr>
              <w:spacing w:after="160"/>
              <w:jc w:val="both"/>
            </w:pPr>
            <w:r>
              <w:t>Prévoir un annuaire avec l</w:t>
            </w:r>
            <w:r w:rsidR="000436D5">
              <w:t>a liste des numéros accessibles.</w:t>
            </w:r>
          </w:p>
          <w:p w:rsidR="002A31D2" w:rsidRPr="00373C0E" w:rsidRDefault="002A31D2" w:rsidP="002A31D2">
            <w:pPr>
              <w:pStyle w:val="ListParagraph"/>
              <w:numPr>
                <w:ilvl w:val="0"/>
                <w:numId w:val="5"/>
              </w:numPr>
              <w:spacing w:after="160"/>
              <w:jc w:val="both"/>
              <w:rPr>
                <w:b w:val="0"/>
                <w:bCs w:val="0"/>
              </w:rPr>
            </w:pPr>
            <w:r>
              <w:t>Appliquer des sanctions dissuasives en matière d’accessibilité numérique et téléphonique.</w:t>
            </w:r>
          </w:p>
        </w:tc>
      </w:tr>
    </w:tbl>
    <w:p w:rsidR="00050B1E" w:rsidRDefault="00050B1E" w:rsidP="00F85197">
      <w:pPr>
        <w:spacing w:after="20"/>
        <w:jc w:val="both"/>
      </w:pPr>
    </w:p>
    <w:p w:rsidR="00892CAD" w:rsidRDefault="00892CAD" w:rsidP="00F85197">
      <w:pPr>
        <w:spacing w:after="20"/>
        <w:rPr>
          <w:rFonts w:asciiTheme="majorHAnsi" w:eastAsiaTheme="majorEastAsia" w:hAnsiTheme="majorHAnsi" w:cstheme="majorBidi"/>
          <w:b/>
          <w:i/>
          <w:color w:val="2F5496" w:themeColor="accent5" w:themeShade="BF"/>
          <w:sz w:val="26"/>
          <w:lang w:eastAsia="en-GB"/>
        </w:rPr>
      </w:pPr>
    </w:p>
    <w:p w:rsidR="00F51AE1" w:rsidRDefault="00F51AE1">
      <w:pPr>
        <w:spacing w:after="160"/>
        <w:rPr>
          <w:rFonts w:asciiTheme="majorHAnsi" w:eastAsiaTheme="majorEastAsia" w:hAnsiTheme="majorHAnsi" w:cstheme="majorBidi"/>
          <w:b/>
          <w:i/>
          <w:color w:val="2F5496" w:themeColor="accent5" w:themeShade="BF"/>
          <w:sz w:val="26"/>
          <w:lang w:eastAsia="en-GB"/>
        </w:rPr>
      </w:pPr>
      <w:r>
        <w:br w:type="page"/>
      </w:r>
    </w:p>
    <w:p w:rsidR="00E14192" w:rsidRDefault="00E14192" w:rsidP="007227BF">
      <w:pPr>
        <w:pStyle w:val="Heading3"/>
      </w:pPr>
      <w:bookmarkStart w:id="31" w:name="_Toc29546066"/>
      <w:r>
        <w:lastRenderedPageBreak/>
        <w:t xml:space="preserve">Article 12 </w:t>
      </w:r>
      <w:r w:rsidR="00C4409C">
        <w:t>–</w:t>
      </w:r>
      <w:r>
        <w:t xml:space="preserve"> Reconnaissance de la personnalité juridique dans des conditions d’égalité</w:t>
      </w:r>
      <w:bookmarkEnd w:id="28"/>
      <w:bookmarkEnd w:id="31"/>
      <w:r>
        <w:t xml:space="preserve"> </w:t>
      </w:r>
    </w:p>
    <w:p w:rsidR="00011FF5" w:rsidRDefault="00011FF5" w:rsidP="00F85197">
      <w:pPr>
        <w:spacing w:after="20"/>
        <w:ind w:firstLine="708"/>
        <w:jc w:val="both"/>
        <w:rPr>
          <w:rFonts w:cstheme="minorHAnsi"/>
        </w:rPr>
      </w:pPr>
    </w:p>
    <w:p w:rsidR="00E14192" w:rsidRPr="001908B4" w:rsidRDefault="00D050CE" w:rsidP="00F85197">
      <w:pPr>
        <w:spacing w:after="20"/>
        <w:jc w:val="both"/>
        <w:rPr>
          <w:rFonts w:cstheme="minorHAnsi"/>
        </w:rPr>
      </w:pPr>
      <w:r>
        <w:rPr>
          <w:rFonts w:cstheme="minorHAnsi"/>
        </w:rPr>
        <w:t>La France doit</w:t>
      </w:r>
      <w:r w:rsidR="00E14192">
        <w:rPr>
          <w:rFonts w:cstheme="minorHAnsi"/>
        </w:rPr>
        <w:t xml:space="preserve"> mettre en place des mesures d’accompagnement pour permettre aux personnes handicapées d’exercer leur capacité juridique</w:t>
      </w:r>
      <w:r>
        <w:rPr>
          <w:rFonts w:cstheme="minorHAnsi"/>
        </w:rPr>
        <w:t>. La</w:t>
      </w:r>
      <w:r w:rsidR="00E14192">
        <w:rPr>
          <w:rFonts w:cstheme="minorHAnsi"/>
        </w:rPr>
        <w:t xml:space="preserve"> </w:t>
      </w:r>
      <w:r w:rsidR="00E14192" w:rsidRPr="001908B4">
        <w:rPr>
          <w:rFonts w:cstheme="minorHAnsi"/>
        </w:rPr>
        <w:t xml:space="preserve">difficulté </w:t>
      </w:r>
      <w:r>
        <w:rPr>
          <w:rFonts w:cstheme="minorHAnsi"/>
        </w:rPr>
        <w:t>d’</w:t>
      </w:r>
      <w:r w:rsidR="00E14192" w:rsidRPr="001908B4">
        <w:rPr>
          <w:rFonts w:cstheme="minorHAnsi"/>
        </w:rPr>
        <w:t>exercer les droits attachés à la personnalité juridique peut conduire à la mise en place de mesures d’accompagnement</w:t>
      </w:r>
      <w:r w:rsidR="00E14192">
        <w:rPr>
          <w:rFonts w:cstheme="minorHAnsi"/>
        </w:rPr>
        <w:t>,</w:t>
      </w:r>
      <w:r w:rsidR="00E14192" w:rsidRPr="001908B4">
        <w:rPr>
          <w:rFonts w:cstheme="minorHAnsi"/>
        </w:rPr>
        <w:t xml:space="preserve"> mais l’organisation de celles-ci ne doit pas aboutir à porter atteinte à la personnalité juridique</w:t>
      </w:r>
      <w:r w:rsidR="0079357B">
        <w:rPr>
          <w:rFonts w:cstheme="minorHAnsi"/>
        </w:rPr>
        <w:t>.</w:t>
      </w:r>
    </w:p>
    <w:p w:rsidR="00E14192" w:rsidRPr="00CD0647" w:rsidRDefault="00E14192" w:rsidP="00F85197">
      <w:pPr>
        <w:spacing w:after="20"/>
        <w:jc w:val="both"/>
        <w:rPr>
          <w:rFonts w:cstheme="minorHAnsi"/>
        </w:rPr>
      </w:pPr>
    </w:p>
    <w:p w:rsidR="00E14192" w:rsidRPr="0026196E" w:rsidRDefault="00E14192" w:rsidP="00F85197">
      <w:pPr>
        <w:pStyle w:val="Heading4"/>
        <w:spacing w:before="0" w:after="20"/>
        <w:ind w:left="708"/>
      </w:pPr>
      <w:r w:rsidRPr="0026196E">
        <w:t xml:space="preserve">Évolutions du cadre juridique </w:t>
      </w:r>
    </w:p>
    <w:p w:rsidR="00E14192" w:rsidRDefault="00E14192" w:rsidP="00F85197">
      <w:pPr>
        <w:spacing w:after="20"/>
        <w:jc w:val="both"/>
        <w:rPr>
          <w:rFonts w:cstheme="minorHAnsi"/>
        </w:rPr>
      </w:pPr>
    </w:p>
    <w:p w:rsidR="00E14192" w:rsidRDefault="00E14192" w:rsidP="00F85197">
      <w:pPr>
        <w:spacing w:after="20"/>
        <w:jc w:val="both"/>
        <w:rPr>
          <w:rFonts w:cstheme="minorHAnsi"/>
        </w:rPr>
      </w:pPr>
      <w:r>
        <w:rPr>
          <w:rFonts w:cstheme="minorHAnsi"/>
        </w:rPr>
        <w:t>La m</w:t>
      </w:r>
      <w:r w:rsidRPr="0026196E">
        <w:rPr>
          <w:rFonts w:cstheme="minorHAnsi"/>
        </w:rPr>
        <w:t>ission interministérielle</w:t>
      </w:r>
      <w:r>
        <w:rPr>
          <w:rFonts w:cstheme="minorHAnsi"/>
        </w:rPr>
        <w:t xml:space="preserve"> de</w:t>
      </w:r>
      <w:r w:rsidRPr="0026196E">
        <w:rPr>
          <w:rFonts w:cstheme="minorHAnsi"/>
        </w:rPr>
        <w:t xml:space="preserve"> 2018</w:t>
      </w:r>
      <w:r w:rsidR="0066636A">
        <w:rPr>
          <w:rStyle w:val="EndnoteReference"/>
          <w:rFonts w:cstheme="minorHAnsi"/>
        </w:rPr>
        <w:endnoteReference w:id="27"/>
      </w:r>
      <w:r w:rsidR="007E1E5A">
        <w:rPr>
          <w:rFonts w:cstheme="minorHAnsi"/>
        </w:rPr>
        <w:t xml:space="preserve"> </w:t>
      </w:r>
      <w:r>
        <w:rPr>
          <w:rFonts w:cstheme="minorHAnsi"/>
        </w:rPr>
        <w:t>avait pour but d’</w:t>
      </w:r>
      <w:r w:rsidRPr="0026196E">
        <w:rPr>
          <w:rFonts w:cstheme="minorHAnsi"/>
        </w:rPr>
        <w:t>élaborer des propositions de réforme sur la protection ju</w:t>
      </w:r>
      <w:r>
        <w:rPr>
          <w:rFonts w:cstheme="minorHAnsi"/>
        </w:rPr>
        <w:t>ridique des majeurs vulnérables, qui n’avait pas changé depuis la loi du 5 mars 2007</w:t>
      </w:r>
      <w:r>
        <w:rPr>
          <w:rStyle w:val="EndnoteReference"/>
          <w:rFonts w:cstheme="minorHAnsi"/>
        </w:rPr>
        <w:endnoteReference w:id="28"/>
      </w:r>
      <w:r>
        <w:rPr>
          <w:rFonts w:cstheme="minorHAnsi"/>
        </w:rPr>
        <w:t>. Ainsi, la loi du 23 mars 2019</w:t>
      </w:r>
      <w:r>
        <w:rPr>
          <w:rStyle w:val="EndnoteReference"/>
          <w:rFonts w:cstheme="minorHAnsi"/>
        </w:rPr>
        <w:endnoteReference w:id="29"/>
      </w:r>
      <w:r>
        <w:rPr>
          <w:rFonts w:cstheme="minorHAnsi"/>
        </w:rPr>
        <w:t xml:space="preserve"> prévoit la pleine reconnaissance</w:t>
      </w:r>
      <w:r w:rsidRPr="0026196E">
        <w:rPr>
          <w:rFonts w:cstheme="minorHAnsi"/>
        </w:rPr>
        <w:t>, pour tous les majeurs protégés, du droit de voter, se marier, se pacser et divorcer sans autorisation préalable du juge.</w:t>
      </w:r>
    </w:p>
    <w:p w:rsidR="00892CAD" w:rsidRPr="0026196E" w:rsidRDefault="00892CAD" w:rsidP="00F85197">
      <w:pPr>
        <w:spacing w:after="20"/>
        <w:ind w:firstLine="708"/>
        <w:jc w:val="both"/>
        <w:rPr>
          <w:rFonts w:cstheme="minorHAnsi"/>
        </w:rPr>
      </w:pPr>
    </w:p>
    <w:p w:rsidR="00296907" w:rsidRPr="00296907" w:rsidRDefault="00296907" w:rsidP="00296907">
      <w:pPr>
        <w:pStyle w:val="Heading4"/>
        <w:spacing w:before="0" w:after="20"/>
        <w:ind w:left="708"/>
      </w:pPr>
      <w:r w:rsidRPr="00296907">
        <w:t>Les procédures de protection et d'accompagnement à l'exercice des droits</w:t>
      </w:r>
    </w:p>
    <w:p w:rsidR="00296907" w:rsidRPr="00296907" w:rsidRDefault="00296907" w:rsidP="00296907">
      <w:pPr>
        <w:spacing w:after="20"/>
        <w:jc w:val="both"/>
        <w:rPr>
          <w:rFonts w:cstheme="minorHAnsi"/>
        </w:rPr>
      </w:pPr>
    </w:p>
    <w:p w:rsidR="00296907" w:rsidRDefault="00296907" w:rsidP="00296907">
      <w:pPr>
        <w:spacing w:after="20"/>
        <w:jc w:val="both"/>
        <w:rPr>
          <w:rFonts w:cstheme="minorHAnsi"/>
        </w:rPr>
      </w:pPr>
      <w:r w:rsidRPr="00296907">
        <w:rPr>
          <w:rFonts w:cstheme="minorHAnsi"/>
        </w:rPr>
        <w:t xml:space="preserve">La plupart des acteurs envisagent la protection à partir des mesures civiles de tutelle, curatelle et sauvegarde de justice, qui sont ordonnés par un juge des tutelles, et soumises à une </w:t>
      </w:r>
      <w:r w:rsidRPr="00296907">
        <w:rPr>
          <w:rFonts w:cstheme="minorHAnsi"/>
          <w:b/>
        </w:rPr>
        <w:t>évaluation médicale</w:t>
      </w:r>
      <w:r w:rsidRPr="00296907">
        <w:rPr>
          <w:rFonts w:cstheme="minorHAnsi"/>
        </w:rPr>
        <w:t xml:space="preserve"> préalable</w:t>
      </w:r>
      <w:r w:rsidRPr="00296907">
        <w:rPr>
          <w:rStyle w:val="EndnoteReference"/>
          <w:rFonts w:cstheme="minorHAnsi"/>
        </w:rPr>
        <w:endnoteReference w:id="30"/>
      </w:r>
      <w:r w:rsidRPr="00296907">
        <w:rPr>
          <w:rFonts w:cstheme="minorHAnsi"/>
        </w:rPr>
        <w:t xml:space="preserve">. Si les principes de </w:t>
      </w:r>
      <w:r w:rsidRPr="00296907">
        <w:rPr>
          <w:rFonts w:cstheme="minorHAnsi"/>
          <w:b/>
        </w:rPr>
        <w:t>nécessité, proportionnalité et subsidiarité</w:t>
      </w:r>
      <w:r w:rsidRPr="00296907">
        <w:rPr>
          <w:rFonts w:cstheme="minorHAnsi"/>
        </w:rPr>
        <w:t xml:space="preserve"> sont censés faire varier le degré de « protection » appliqué, et devraient conduire à privilégier les mesures d'assistance</w:t>
      </w:r>
      <w:r w:rsidRPr="00296907">
        <w:rPr>
          <w:rStyle w:val="EndnoteReference"/>
          <w:rFonts w:cstheme="minorHAnsi"/>
        </w:rPr>
        <w:endnoteReference w:id="31"/>
      </w:r>
      <w:r w:rsidRPr="00296907">
        <w:rPr>
          <w:rFonts w:cstheme="minorHAnsi"/>
        </w:rPr>
        <w:t xml:space="preserve">, les mesures de tutelle restent très majoritairement utilisées. </w:t>
      </w:r>
    </w:p>
    <w:p w:rsidR="00E14192" w:rsidRPr="00912518" w:rsidRDefault="005416B0" w:rsidP="00F85197">
      <w:pPr>
        <w:spacing w:after="20"/>
        <w:jc w:val="both"/>
      </w:pPr>
      <w:r>
        <w:rPr>
          <w:rFonts w:cstheme="minorHAnsi"/>
        </w:rPr>
        <w:t>E</w:t>
      </w:r>
      <w:r w:rsidR="00E14192">
        <w:rPr>
          <w:rFonts w:cstheme="minorHAnsi"/>
        </w:rPr>
        <w:t>n pratique, d</w:t>
      </w:r>
      <w:r w:rsidR="00E14192">
        <w:t xml:space="preserve">es médecins de diverses spécialités sont inscrits aux registres des tribunaux </w:t>
      </w:r>
      <w:r w:rsidR="00E14192" w:rsidRPr="00011FF5">
        <w:rPr>
          <w:b/>
        </w:rPr>
        <w:t>sans formation</w:t>
      </w:r>
      <w:r w:rsidR="00E14192">
        <w:t xml:space="preserve"> suffisante pour mener des évaluations</w:t>
      </w:r>
      <w:r w:rsidR="00816B63">
        <w:t>,</w:t>
      </w:r>
      <w:r w:rsidR="00E14192">
        <w:t xml:space="preserve"> </w:t>
      </w:r>
      <w:r w:rsidR="00912518">
        <w:t>et ils utilisent</w:t>
      </w:r>
      <w:r w:rsidR="00E14192">
        <w:rPr>
          <w:rFonts w:cstheme="minorHAnsi"/>
        </w:rPr>
        <w:t xml:space="preserve"> </w:t>
      </w:r>
      <w:r w:rsidR="00E14192" w:rsidRPr="00F47928">
        <w:rPr>
          <w:rFonts w:cstheme="minorHAnsi"/>
        </w:rPr>
        <w:t xml:space="preserve">la </w:t>
      </w:r>
      <w:r w:rsidR="00E14192" w:rsidRPr="00F47928">
        <w:rPr>
          <w:rFonts w:cstheme="minorHAnsi"/>
          <w:b/>
        </w:rPr>
        <w:t xml:space="preserve">mention </w:t>
      </w:r>
      <w:r w:rsidR="00FC0557">
        <w:rPr>
          <w:rFonts w:cstheme="minorHAnsi"/>
          <w:b/>
        </w:rPr>
        <w:t>« </w:t>
      </w:r>
      <w:r w:rsidR="00E14192" w:rsidRPr="00F47928">
        <w:rPr>
          <w:rFonts w:cstheme="minorHAnsi"/>
          <w:b/>
        </w:rPr>
        <w:t>hors d’état d’exprimer sa volonté</w:t>
      </w:r>
      <w:r w:rsidR="00FC0557">
        <w:rPr>
          <w:rFonts w:cstheme="minorHAnsi"/>
          <w:b/>
        </w:rPr>
        <w:t> »</w:t>
      </w:r>
      <w:r w:rsidR="00E14192" w:rsidRPr="00F47928">
        <w:rPr>
          <w:rFonts w:cstheme="minorHAnsi"/>
          <w:b/>
        </w:rPr>
        <w:t xml:space="preserve"> </w:t>
      </w:r>
      <w:r w:rsidR="00912518">
        <w:rPr>
          <w:rFonts w:cstheme="minorHAnsi"/>
          <w:b/>
        </w:rPr>
        <w:t>de manière</w:t>
      </w:r>
      <w:r w:rsidR="00912518" w:rsidRPr="00F47928">
        <w:rPr>
          <w:rFonts w:cstheme="minorHAnsi"/>
          <w:b/>
        </w:rPr>
        <w:t xml:space="preserve"> </w:t>
      </w:r>
      <w:r w:rsidR="00E14192" w:rsidRPr="00F47928">
        <w:rPr>
          <w:rFonts w:cstheme="minorHAnsi"/>
          <w:b/>
        </w:rPr>
        <w:t>abusive</w:t>
      </w:r>
      <w:r w:rsidR="00E14192">
        <w:rPr>
          <w:rFonts w:cstheme="minorHAnsi"/>
        </w:rPr>
        <w:t xml:space="preserve"> </w:t>
      </w:r>
      <w:r w:rsidR="00912518">
        <w:rPr>
          <w:rFonts w:cstheme="minorHAnsi"/>
        </w:rPr>
        <w:t xml:space="preserve">– ce qui </w:t>
      </w:r>
      <w:r w:rsidR="00E14192">
        <w:rPr>
          <w:rFonts w:cstheme="minorHAnsi"/>
        </w:rPr>
        <w:t xml:space="preserve">traduit </w:t>
      </w:r>
      <w:r w:rsidR="00E14192" w:rsidRPr="00F47928">
        <w:rPr>
          <w:rFonts w:cstheme="minorHAnsi"/>
        </w:rPr>
        <w:t>un problème majeur</w:t>
      </w:r>
      <w:r w:rsidR="00E14192">
        <w:rPr>
          <w:rFonts w:cstheme="minorHAnsi"/>
        </w:rPr>
        <w:t xml:space="preserve">, </w:t>
      </w:r>
      <w:r w:rsidR="00FC0557">
        <w:rPr>
          <w:rFonts w:cstheme="minorHAnsi"/>
        </w:rPr>
        <w:t>à savoir</w:t>
      </w:r>
      <w:r w:rsidR="00E14192">
        <w:rPr>
          <w:rFonts w:cstheme="minorHAnsi"/>
        </w:rPr>
        <w:t xml:space="preserve"> </w:t>
      </w:r>
      <w:r w:rsidR="00E14192" w:rsidRPr="00F47928">
        <w:rPr>
          <w:rFonts w:cstheme="minorHAnsi"/>
        </w:rPr>
        <w:t xml:space="preserve">la </w:t>
      </w:r>
      <w:r w:rsidR="00E14192" w:rsidRPr="00BB1B04">
        <w:rPr>
          <w:rFonts w:cstheme="minorHAnsi"/>
        </w:rPr>
        <w:t>capacité</w:t>
      </w:r>
      <w:r w:rsidR="00E14192" w:rsidRPr="00F47928">
        <w:rPr>
          <w:rFonts w:cstheme="minorHAnsi"/>
        </w:rPr>
        <w:t xml:space="preserve"> des personnes vulnérables à s’exprimer</w:t>
      </w:r>
      <w:r w:rsidR="00E14192">
        <w:rPr>
          <w:rFonts w:cstheme="minorHAnsi"/>
        </w:rPr>
        <w:t>,</w:t>
      </w:r>
      <w:r w:rsidR="00E14192" w:rsidRPr="00F47928">
        <w:rPr>
          <w:rFonts w:cstheme="minorHAnsi"/>
        </w:rPr>
        <w:t xml:space="preserve"> par la parole ou des </w:t>
      </w:r>
      <w:r w:rsidR="00E14192" w:rsidRPr="00FC1BA4">
        <w:rPr>
          <w:rFonts w:cstheme="minorHAnsi"/>
        </w:rPr>
        <w:t>postures, selon</w:t>
      </w:r>
      <w:r w:rsidR="00E14192" w:rsidRPr="00F47928">
        <w:rPr>
          <w:rFonts w:cstheme="minorHAnsi"/>
        </w:rPr>
        <w:t xml:space="preserve"> </w:t>
      </w:r>
      <w:r w:rsidR="0079357B">
        <w:rPr>
          <w:rFonts w:cstheme="minorHAnsi"/>
        </w:rPr>
        <w:t>l</w:t>
      </w:r>
      <w:r w:rsidR="00E14192">
        <w:rPr>
          <w:rFonts w:cstheme="minorHAnsi"/>
        </w:rPr>
        <w:t>es interlocuteurs et les moments.</w:t>
      </w:r>
      <w:r w:rsidR="002E0FF1" w:rsidRPr="002E0FF1">
        <w:rPr>
          <w:rFonts w:cstheme="minorHAnsi"/>
        </w:rPr>
        <w:t xml:space="preserve"> </w:t>
      </w:r>
      <w:r w:rsidR="002E0FF1">
        <w:rPr>
          <w:rFonts w:cstheme="minorHAnsi"/>
        </w:rPr>
        <w:t>La</w:t>
      </w:r>
      <w:r w:rsidR="002E0FF1" w:rsidRPr="00816B63">
        <w:rPr>
          <w:rFonts w:cstheme="minorHAnsi"/>
        </w:rPr>
        <w:t xml:space="preserve"> vision médicale pour décider d’une mesure de protection est </w:t>
      </w:r>
      <w:r w:rsidR="002E0FF1">
        <w:rPr>
          <w:rFonts w:cstheme="minorHAnsi"/>
        </w:rPr>
        <w:t xml:space="preserve">contraire aux </w:t>
      </w:r>
      <w:r w:rsidR="002E0FF1">
        <w:rPr>
          <w:rFonts w:cstheme="minorHAnsi"/>
        </w:rPr>
        <w:lastRenderedPageBreak/>
        <w:t>droits fondamentaux de la personne handicapée et de toute personne en situation de dépendance</w:t>
      </w:r>
      <w:r w:rsidR="002E0FF1" w:rsidRPr="00816B63">
        <w:rPr>
          <w:rFonts w:cstheme="minorHAnsi"/>
        </w:rPr>
        <w:t xml:space="preserve">, </w:t>
      </w:r>
      <w:r w:rsidR="002E0FF1" w:rsidRPr="00A41F3A">
        <w:rPr>
          <w:rFonts w:cstheme="minorHAnsi"/>
          <w:b/>
        </w:rPr>
        <w:t>car c’es</w:t>
      </w:r>
      <w:r w:rsidR="00F3386E" w:rsidRPr="004F6440">
        <w:rPr>
          <w:rFonts w:cstheme="minorHAnsi"/>
          <w:b/>
        </w:rPr>
        <w:t>t un regard social qu’il fau</w:t>
      </w:r>
      <w:r w:rsidR="002E0FF1" w:rsidRPr="00A41F3A">
        <w:rPr>
          <w:rFonts w:cstheme="minorHAnsi"/>
          <w:b/>
        </w:rPr>
        <w:t xml:space="preserve">t </w:t>
      </w:r>
      <w:r w:rsidR="00F3386E">
        <w:rPr>
          <w:rFonts w:cstheme="minorHAnsi"/>
          <w:b/>
        </w:rPr>
        <w:t>adopter</w:t>
      </w:r>
      <w:r w:rsidR="002E0FF1" w:rsidRPr="00A41F3A">
        <w:rPr>
          <w:rFonts w:cstheme="minorHAnsi"/>
          <w:b/>
        </w:rPr>
        <w:t>.</w:t>
      </w:r>
      <w:r w:rsidR="002E0FF1" w:rsidRPr="00816B63">
        <w:rPr>
          <w:rFonts w:cstheme="minorHAnsi"/>
        </w:rPr>
        <w:t xml:space="preserve"> </w:t>
      </w:r>
    </w:p>
    <w:p w:rsidR="00E14192" w:rsidRDefault="00912518" w:rsidP="00F85197">
      <w:pPr>
        <w:spacing w:after="20"/>
        <w:jc w:val="both"/>
      </w:pPr>
      <w:r>
        <w:t>De plus</w:t>
      </w:r>
      <w:r w:rsidR="005416B0">
        <w:t xml:space="preserve">, </w:t>
      </w:r>
      <w:r w:rsidR="002E0FF1">
        <w:t>l</w:t>
      </w:r>
      <w:r w:rsidR="005416B0">
        <w:t xml:space="preserve">e passage par le juge des tutelles est </w:t>
      </w:r>
      <w:r w:rsidR="00F3386E">
        <w:rPr>
          <w:b/>
        </w:rPr>
        <w:t>inconvenant</w:t>
      </w:r>
      <w:r w:rsidR="005416B0">
        <w:t xml:space="preserve"> car l’Etat français n’a pas adapté l’appareil judiciaire et </w:t>
      </w:r>
      <w:r w:rsidR="005416B0" w:rsidRPr="00A41F3A">
        <w:rPr>
          <w:b/>
        </w:rPr>
        <w:t xml:space="preserve">le nombre de dossiers est </w:t>
      </w:r>
      <w:r w:rsidR="00F3386E">
        <w:rPr>
          <w:b/>
        </w:rPr>
        <w:t>disproportionné</w:t>
      </w:r>
      <w:r w:rsidR="005416B0" w:rsidRPr="00A41F3A">
        <w:rPr>
          <w:b/>
        </w:rPr>
        <w:t xml:space="preserve"> par rapport au</w:t>
      </w:r>
      <w:r w:rsidR="002E0FF1" w:rsidRPr="00A41F3A">
        <w:rPr>
          <w:b/>
        </w:rPr>
        <w:t xml:space="preserve"> nombre de</w:t>
      </w:r>
      <w:r w:rsidR="005416B0" w:rsidRPr="00A41F3A">
        <w:rPr>
          <w:b/>
        </w:rPr>
        <w:t xml:space="preserve"> juges</w:t>
      </w:r>
      <w:r w:rsidR="005416B0">
        <w:t>.</w:t>
      </w:r>
    </w:p>
    <w:p w:rsidR="005416B0" w:rsidRPr="0042452A" w:rsidRDefault="005416B0" w:rsidP="00F85197">
      <w:pPr>
        <w:spacing w:after="20"/>
        <w:jc w:val="both"/>
        <w:rPr>
          <w:rFonts w:cstheme="minorHAnsi"/>
          <w:color w:val="C00000"/>
        </w:rPr>
      </w:pPr>
    </w:p>
    <w:p w:rsidR="0042452A" w:rsidRDefault="0066636A" w:rsidP="00F85197">
      <w:pPr>
        <w:spacing w:after="20"/>
        <w:jc w:val="both"/>
        <w:rPr>
          <w:rFonts w:cstheme="minorHAnsi"/>
        </w:rPr>
      </w:pPr>
      <w:r w:rsidRPr="000B589A">
        <w:rPr>
          <w:rFonts w:cstheme="minorHAnsi"/>
        </w:rPr>
        <w:t>Les régimes de « </w:t>
      </w:r>
      <w:r w:rsidRPr="000B589A">
        <w:rPr>
          <w:rFonts w:cstheme="minorHAnsi"/>
          <w:b/>
        </w:rPr>
        <w:t>représentation</w:t>
      </w:r>
      <w:r w:rsidRPr="000B589A">
        <w:rPr>
          <w:rFonts w:cstheme="minorHAnsi"/>
        </w:rPr>
        <w:t xml:space="preserve"> » s’opposant à l’esprit de la Convention, il </w:t>
      </w:r>
      <w:r w:rsidR="00704623" w:rsidRPr="000B589A">
        <w:rPr>
          <w:rFonts w:cstheme="minorHAnsi"/>
        </w:rPr>
        <w:t>est</w:t>
      </w:r>
      <w:r w:rsidRPr="000B589A">
        <w:rPr>
          <w:rFonts w:cstheme="minorHAnsi"/>
        </w:rPr>
        <w:t xml:space="preserve"> nécessaire de développer un droit généralisé et civil à l’accompagnement</w:t>
      </w:r>
      <w:r w:rsidR="00704623" w:rsidRPr="000B589A">
        <w:rPr>
          <w:rFonts w:cstheme="minorHAnsi"/>
        </w:rPr>
        <w:t>. Pour se faire, le législateur se doit d’adopter une approche transversale</w:t>
      </w:r>
      <w:r w:rsidR="00FB1297">
        <w:rPr>
          <w:rFonts w:cstheme="minorHAnsi"/>
        </w:rPr>
        <w:t>,</w:t>
      </w:r>
      <w:r w:rsidR="00A04CFD">
        <w:rPr>
          <w:rFonts w:cstheme="minorHAnsi"/>
        </w:rPr>
        <w:t xml:space="preserve"> comme cela a pu être développé</w:t>
      </w:r>
      <w:r w:rsidR="00704623" w:rsidRPr="000B589A">
        <w:rPr>
          <w:rFonts w:cstheme="minorHAnsi"/>
        </w:rPr>
        <w:t xml:space="preserve"> dans les pays où </w:t>
      </w:r>
      <w:r w:rsidR="0042452A" w:rsidRPr="000B589A">
        <w:rPr>
          <w:rFonts w:cstheme="minorHAnsi"/>
        </w:rPr>
        <w:t xml:space="preserve">il existe </w:t>
      </w:r>
      <w:r w:rsidR="00704623" w:rsidRPr="000B589A">
        <w:rPr>
          <w:rFonts w:cstheme="minorHAnsi"/>
        </w:rPr>
        <w:t>une législation générale sur la capacité juridique</w:t>
      </w:r>
      <w:r w:rsidR="00746C89">
        <w:rPr>
          <w:rFonts w:cstheme="minorHAnsi"/>
        </w:rPr>
        <w:t>.</w:t>
      </w:r>
      <w:r w:rsidR="0042452A" w:rsidRPr="000B589A">
        <w:rPr>
          <w:rStyle w:val="EndnoteReference"/>
          <w:rFonts w:cstheme="minorHAnsi"/>
        </w:rPr>
        <w:endnoteReference w:id="32"/>
      </w:r>
    </w:p>
    <w:p w:rsidR="00051C36" w:rsidRDefault="00051C36" w:rsidP="00F85197">
      <w:pPr>
        <w:spacing w:after="20"/>
        <w:jc w:val="both"/>
        <w:rPr>
          <w:rFonts w:cstheme="minorHAnsi"/>
        </w:rPr>
      </w:pPr>
    </w:p>
    <w:p w:rsidR="00E14192" w:rsidRPr="007F06F9" w:rsidRDefault="00E14192" w:rsidP="00F85197">
      <w:pPr>
        <w:pStyle w:val="Heading4"/>
        <w:spacing w:before="0" w:after="20"/>
        <w:ind w:firstLine="708"/>
      </w:pPr>
      <w:r w:rsidRPr="007F06F9">
        <w:t xml:space="preserve">Conséquences : déni de capacité juridique </w:t>
      </w:r>
    </w:p>
    <w:p w:rsidR="00051C36" w:rsidRDefault="00051C36" w:rsidP="00F85197">
      <w:pPr>
        <w:spacing w:after="20"/>
        <w:jc w:val="both"/>
        <w:rPr>
          <w:rFonts w:cstheme="minorHAnsi"/>
        </w:rPr>
      </w:pPr>
    </w:p>
    <w:p w:rsidR="00E14192" w:rsidRDefault="00892CAD" w:rsidP="00F85197">
      <w:pPr>
        <w:spacing w:after="20"/>
        <w:jc w:val="both"/>
        <w:rPr>
          <w:rFonts w:cstheme="minorHAnsi"/>
        </w:rPr>
      </w:pPr>
      <w:r>
        <w:rPr>
          <w:rFonts w:cstheme="minorHAnsi"/>
        </w:rPr>
        <w:t>L</w:t>
      </w:r>
      <w:r w:rsidR="00E14192">
        <w:rPr>
          <w:rFonts w:cstheme="minorHAnsi"/>
        </w:rPr>
        <w:t>orsque l’article 415 du code civil</w:t>
      </w:r>
      <w:r w:rsidR="00CD0647">
        <w:rPr>
          <w:rFonts w:cstheme="minorHAnsi"/>
        </w:rPr>
        <w:t xml:space="preserve"> </w:t>
      </w:r>
      <w:r w:rsidR="00E14192">
        <w:rPr>
          <w:rFonts w:cstheme="minorHAnsi"/>
        </w:rPr>
        <w:t xml:space="preserve">mentionne </w:t>
      </w:r>
      <w:r w:rsidR="00E14192" w:rsidRPr="001908B4">
        <w:rPr>
          <w:rFonts w:cstheme="minorHAnsi"/>
        </w:rPr>
        <w:t>« </w:t>
      </w:r>
      <w:r w:rsidR="00E14192">
        <w:rPr>
          <w:rFonts w:cstheme="minorHAnsi"/>
        </w:rPr>
        <w:t>l’</w:t>
      </w:r>
      <w:r w:rsidR="00E14192" w:rsidRPr="000130A6">
        <w:rPr>
          <w:rFonts w:cstheme="minorHAnsi"/>
          <w:b/>
        </w:rPr>
        <w:t>intérêt</w:t>
      </w:r>
      <w:r w:rsidR="00E14192" w:rsidRPr="001908B4">
        <w:rPr>
          <w:rFonts w:cstheme="minorHAnsi"/>
        </w:rPr>
        <w:t> » de la personne protégée,</w:t>
      </w:r>
      <w:r w:rsidR="003B6854">
        <w:rPr>
          <w:rFonts w:cstheme="minorHAnsi"/>
        </w:rPr>
        <w:t xml:space="preserve"> </w:t>
      </w:r>
      <w:r w:rsidR="00B0236A">
        <w:rPr>
          <w:rFonts w:cstheme="minorHAnsi"/>
        </w:rPr>
        <w:t>c’est</w:t>
      </w:r>
      <w:r w:rsidR="003B6854">
        <w:rPr>
          <w:rFonts w:cstheme="minorHAnsi"/>
        </w:rPr>
        <w:t xml:space="preserve"> l’idée de</w:t>
      </w:r>
      <w:r w:rsidR="00E14192" w:rsidRPr="001908B4">
        <w:rPr>
          <w:rFonts w:cstheme="minorHAnsi"/>
        </w:rPr>
        <w:t xml:space="preserve"> </w:t>
      </w:r>
      <w:r w:rsidR="00FC0557">
        <w:rPr>
          <w:rFonts w:cstheme="minorHAnsi"/>
        </w:rPr>
        <w:t>prévenir toute forme d’abus sur la personne intéressée</w:t>
      </w:r>
      <w:r w:rsidR="00B0236A">
        <w:rPr>
          <w:rFonts w:cstheme="minorHAnsi"/>
        </w:rPr>
        <w:t xml:space="preserve"> qui prévaut</w:t>
      </w:r>
      <w:r w:rsidR="00E14192" w:rsidRPr="001908B4">
        <w:rPr>
          <w:rFonts w:cstheme="minorHAnsi"/>
        </w:rPr>
        <w:t xml:space="preserve">, </w:t>
      </w:r>
      <w:r w:rsidR="00B0236A">
        <w:rPr>
          <w:rFonts w:cstheme="minorHAnsi"/>
        </w:rPr>
        <w:t>soit « l’</w:t>
      </w:r>
      <w:r w:rsidR="00FC0557">
        <w:rPr>
          <w:rFonts w:cstheme="minorHAnsi"/>
        </w:rPr>
        <w:t xml:space="preserve">intérêt </w:t>
      </w:r>
      <w:r w:rsidR="00E14192" w:rsidRPr="001908B4">
        <w:rPr>
          <w:rFonts w:cstheme="minorHAnsi"/>
        </w:rPr>
        <w:t>unique et supérieur</w:t>
      </w:r>
      <w:r w:rsidR="00B0236A">
        <w:rPr>
          <w:rFonts w:cstheme="minorHAnsi"/>
        </w:rPr>
        <w:t> »</w:t>
      </w:r>
      <w:r w:rsidR="00E14192" w:rsidRPr="001908B4">
        <w:rPr>
          <w:rFonts w:cstheme="minorHAnsi"/>
        </w:rPr>
        <w:t xml:space="preserve"> que le juge des tutell</w:t>
      </w:r>
      <w:r w:rsidR="00CD0647">
        <w:rPr>
          <w:rFonts w:cstheme="minorHAnsi"/>
        </w:rPr>
        <w:t>es ou le mandataire connaî</w:t>
      </w:r>
      <w:r w:rsidR="00E14192">
        <w:rPr>
          <w:rFonts w:cstheme="minorHAnsi"/>
        </w:rPr>
        <w:t>tra</w:t>
      </w:r>
      <w:r w:rsidR="00CD0647">
        <w:rPr>
          <w:rFonts w:cstheme="minorHAnsi"/>
        </w:rPr>
        <w:t>i</w:t>
      </w:r>
      <w:r w:rsidR="00E14192">
        <w:rPr>
          <w:rFonts w:cstheme="minorHAnsi"/>
        </w:rPr>
        <w:t xml:space="preserve">t. Or cela </w:t>
      </w:r>
      <w:r w:rsidR="00E14192" w:rsidRPr="001908B4">
        <w:rPr>
          <w:rFonts w:cstheme="minorHAnsi"/>
        </w:rPr>
        <w:t xml:space="preserve">revient souvent à décider à la place de la personne avec le souci </w:t>
      </w:r>
      <w:r w:rsidR="00E14192" w:rsidRPr="00B0236A">
        <w:rPr>
          <w:rFonts w:cstheme="minorHAnsi"/>
        </w:rPr>
        <w:t>de</w:t>
      </w:r>
      <w:r w:rsidR="00E14192" w:rsidRPr="000130A6">
        <w:rPr>
          <w:rFonts w:cstheme="minorHAnsi"/>
          <w:b/>
        </w:rPr>
        <w:t xml:space="preserve"> minimiser les risques encourus</w:t>
      </w:r>
      <w:r w:rsidR="00E14192" w:rsidRPr="001908B4">
        <w:rPr>
          <w:rFonts w:cstheme="minorHAnsi"/>
        </w:rPr>
        <w:t xml:space="preserve">. </w:t>
      </w:r>
    </w:p>
    <w:p w:rsidR="001E26C4" w:rsidRDefault="001E26C4" w:rsidP="00F85197">
      <w:pPr>
        <w:spacing w:after="20"/>
        <w:jc w:val="both"/>
        <w:rPr>
          <w:rFonts w:cstheme="minorHAnsi"/>
        </w:rPr>
      </w:pPr>
    </w:p>
    <w:p w:rsidR="001E26C4" w:rsidRDefault="001E26C4" w:rsidP="00F85197">
      <w:pPr>
        <w:spacing w:after="20"/>
        <w:jc w:val="both"/>
        <w:rPr>
          <w:rFonts w:cstheme="minorHAnsi"/>
        </w:rPr>
      </w:pPr>
    </w:p>
    <w:tbl>
      <w:tblPr>
        <w:tblStyle w:val="GridTable1Light-Accent1"/>
        <w:tblW w:w="0" w:type="auto"/>
        <w:shd w:val="clear" w:color="auto" w:fill="DEEAF6" w:themeFill="accent1" w:themeFillTint="33"/>
        <w:tblLook w:val="04A0" w:firstRow="1" w:lastRow="0" w:firstColumn="1" w:lastColumn="0" w:noHBand="0" w:noVBand="1"/>
      </w:tblPr>
      <w:tblGrid>
        <w:gridCol w:w="9062"/>
      </w:tblGrid>
      <w:tr w:rsidR="001E26C4" w:rsidTr="00A41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F2F7FC"/>
          </w:tcPr>
          <w:p w:rsidR="00F66847" w:rsidRDefault="001E26C4" w:rsidP="00F85197">
            <w:pPr>
              <w:pStyle w:val="Heading7"/>
              <w:spacing w:before="0" w:after="20" w:line="259" w:lineRule="auto"/>
              <w:outlineLvl w:val="6"/>
              <w:rPr>
                <w:rStyle w:val="Emphasis"/>
                <w:i/>
                <w:iCs/>
              </w:rPr>
            </w:pPr>
            <w:bookmarkStart w:id="32" w:name="_Toc20128121"/>
            <w:r w:rsidRPr="00F2623F">
              <w:rPr>
                <w:rStyle w:val="Emphasis"/>
                <w:i/>
                <w:iCs/>
              </w:rPr>
              <w:t>Recommandations</w:t>
            </w:r>
            <w:bookmarkEnd w:id="32"/>
          </w:p>
          <w:p w:rsidR="00892CAD" w:rsidRPr="00762B97" w:rsidRDefault="00892CAD" w:rsidP="00762B97">
            <w:pPr>
              <w:pStyle w:val="ListParagraph"/>
              <w:rPr>
                <w:sz w:val="20"/>
                <w:szCs w:val="20"/>
              </w:rPr>
            </w:pPr>
          </w:p>
          <w:p w:rsidR="00892CAD" w:rsidRPr="00892CAD" w:rsidRDefault="00892CAD" w:rsidP="00027EF9">
            <w:pPr>
              <w:pStyle w:val="ListParagraph"/>
              <w:widowControl w:val="0"/>
              <w:numPr>
                <w:ilvl w:val="0"/>
                <w:numId w:val="3"/>
              </w:numPr>
              <w:autoSpaceDE w:val="0"/>
              <w:autoSpaceDN w:val="0"/>
              <w:spacing w:after="20" w:line="259" w:lineRule="auto"/>
              <w:ind w:left="714" w:right="113" w:hanging="357"/>
              <w:contextualSpacing w:val="0"/>
              <w:jc w:val="both"/>
            </w:pPr>
            <w:r>
              <w:t>Assurer aux personnes handicapées la pleine reconnaissance d</w:t>
            </w:r>
            <w:r w:rsidRPr="00F62C9F">
              <w:t>e l</w:t>
            </w:r>
            <w:r>
              <w:t>eur</w:t>
            </w:r>
            <w:r w:rsidRPr="00F62C9F">
              <w:t xml:space="preserve"> personnalité ju</w:t>
            </w:r>
            <w:r>
              <w:t xml:space="preserve">ridique et l’exercice </w:t>
            </w:r>
            <w:r w:rsidR="00FC0557">
              <w:t xml:space="preserve">effectif </w:t>
            </w:r>
            <w:r>
              <w:t>de la capacité juridique</w:t>
            </w:r>
            <w:r w:rsidRPr="00F62C9F">
              <w:t xml:space="preserve"> d</w:t>
            </w:r>
            <w:r>
              <w:t>ans tous les aspects de la vie. </w:t>
            </w:r>
          </w:p>
          <w:p w:rsidR="0042452A" w:rsidRPr="0042452A" w:rsidRDefault="0042452A" w:rsidP="00027EF9">
            <w:pPr>
              <w:pStyle w:val="NormalWeb"/>
              <w:numPr>
                <w:ilvl w:val="0"/>
                <w:numId w:val="3"/>
              </w:numPr>
              <w:spacing w:before="0" w:beforeAutospacing="0" w:after="20" w:afterAutospacing="0" w:line="259" w:lineRule="auto"/>
              <w:ind w:left="714" w:hanging="357"/>
              <w:jc w:val="both"/>
              <w:rPr>
                <w:rFonts w:asciiTheme="minorHAnsi" w:eastAsiaTheme="minorHAnsi" w:hAnsiTheme="minorHAnsi" w:cstheme="minorBidi"/>
                <w:sz w:val="22"/>
                <w:szCs w:val="22"/>
                <w:lang w:eastAsia="en-US"/>
              </w:rPr>
            </w:pPr>
            <w:r w:rsidRPr="0042452A">
              <w:rPr>
                <w:rFonts w:asciiTheme="minorHAnsi" w:eastAsiaTheme="minorHAnsi" w:hAnsiTheme="minorHAnsi" w:cstheme="minorBidi"/>
                <w:sz w:val="22"/>
                <w:szCs w:val="22"/>
                <w:lang w:eastAsia="en-US"/>
              </w:rPr>
              <w:t>Réformer les textes relatifs à la protection juridique des majeurs</w:t>
            </w:r>
            <w:r>
              <w:rPr>
                <w:rFonts w:asciiTheme="minorHAnsi" w:eastAsiaTheme="minorHAnsi" w:hAnsiTheme="minorHAnsi" w:cstheme="minorBidi"/>
                <w:sz w:val="22"/>
                <w:szCs w:val="22"/>
                <w:lang w:eastAsia="en-US"/>
              </w:rPr>
              <w:t>.</w:t>
            </w:r>
          </w:p>
          <w:p w:rsidR="00762243" w:rsidRPr="0042452A" w:rsidRDefault="00892CAD" w:rsidP="0042452A">
            <w:pPr>
              <w:pStyle w:val="NormalWeb"/>
              <w:numPr>
                <w:ilvl w:val="0"/>
                <w:numId w:val="3"/>
              </w:numPr>
              <w:spacing w:before="0" w:beforeAutospacing="0" w:after="20" w:afterAutospacing="0" w:line="259" w:lineRule="auto"/>
              <w:ind w:left="714" w:hanging="357"/>
              <w:jc w:val="both"/>
              <w:rPr>
                <w:rFonts w:asciiTheme="minorHAnsi" w:hAnsiTheme="minorHAnsi" w:cstheme="minorHAnsi"/>
                <w:sz w:val="22"/>
                <w:szCs w:val="22"/>
              </w:rPr>
            </w:pPr>
            <w:r w:rsidRPr="0042452A">
              <w:rPr>
                <w:rFonts w:asciiTheme="minorHAnsi" w:eastAsiaTheme="minorHAnsi" w:hAnsiTheme="minorHAnsi" w:cstheme="minorBidi"/>
                <w:sz w:val="22"/>
                <w:szCs w:val="22"/>
                <w:lang w:eastAsia="en-US"/>
              </w:rPr>
              <w:t>Instaurer un</w:t>
            </w:r>
            <w:r w:rsidR="001E26C4" w:rsidRPr="0042452A">
              <w:rPr>
                <w:rFonts w:asciiTheme="minorHAnsi" w:eastAsiaTheme="minorHAnsi" w:hAnsiTheme="minorHAnsi" w:cstheme="minorBidi"/>
                <w:sz w:val="22"/>
                <w:szCs w:val="22"/>
                <w:lang w:eastAsia="en-US"/>
              </w:rPr>
              <w:t xml:space="preserve"> régime d’accompagnement </w:t>
            </w:r>
            <w:r w:rsidR="00762B97" w:rsidRPr="0042452A">
              <w:rPr>
                <w:rFonts w:asciiTheme="minorHAnsi" w:eastAsiaTheme="minorHAnsi" w:hAnsiTheme="minorHAnsi" w:cstheme="minorBidi"/>
                <w:sz w:val="22"/>
                <w:szCs w:val="22"/>
                <w:lang w:eastAsia="en-US"/>
              </w:rPr>
              <w:t xml:space="preserve">civil </w:t>
            </w:r>
            <w:r w:rsidR="001E26C4" w:rsidRPr="0042452A">
              <w:rPr>
                <w:rFonts w:asciiTheme="minorHAnsi" w:eastAsiaTheme="minorHAnsi" w:hAnsiTheme="minorHAnsi" w:cstheme="minorBidi"/>
                <w:sz w:val="22"/>
                <w:szCs w:val="22"/>
                <w:lang w:eastAsia="en-US"/>
              </w:rPr>
              <w:t>gradué jusqu’au plus haut degré d’altération</w:t>
            </w:r>
            <w:r w:rsidRPr="0042452A">
              <w:rPr>
                <w:rFonts w:asciiTheme="minorHAnsi" w:eastAsiaTheme="minorHAnsi" w:hAnsiTheme="minorHAnsi" w:cstheme="minorBidi"/>
                <w:sz w:val="22"/>
                <w:szCs w:val="22"/>
                <w:lang w:eastAsia="en-US"/>
              </w:rPr>
              <w:t xml:space="preserve"> en c</w:t>
            </w:r>
            <w:r w:rsidR="001E26C4" w:rsidRPr="0042452A">
              <w:rPr>
                <w:rFonts w:asciiTheme="minorHAnsi" w:eastAsiaTheme="minorHAnsi" w:hAnsiTheme="minorHAnsi" w:cstheme="minorBidi"/>
                <w:sz w:val="22"/>
                <w:szCs w:val="22"/>
                <w:lang w:eastAsia="en-US"/>
              </w:rPr>
              <w:t>onformité</w:t>
            </w:r>
            <w:r w:rsidR="001E26C4" w:rsidRPr="001908B4">
              <w:rPr>
                <w:rFonts w:asciiTheme="minorHAnsi" w:hAnsiTheme="minorHAnsi" w:cstheme="minorHAnsi"/>
                <w:sz w:val="22"/>
                <w:szCs w:val="22"/>
              </w:rPr>
              <w:t xml:space="preserve"> avec le principe de </w:t>
            </w:r>
            <w:r w:rsidR="001E26C4">
              <w:rPr>
                <w:rFonts w:asciiTheme="minorHAnsi" w:hAnsiTheme="minorHAnsi" w:cstheme="minorHAnsi"/>
                <w:sz w:val="22"/>
                <w:szCs w:val="22"/>
              </w:rPr>
              <w:t>proportionnalité</w:t>
            </w:r>
            <w:r w:rsidR="001E26C4" w:rsidRPr="001908B4">
              <w:rPr>
                <w:rFonts w:asciiTheme="minorHAnsi" w:hAnsiTheme="minorHAnsi" w:cstheme="minorHAnsi"/>
                <w:sz w:val="22"/>
                <w:szCs w:val="22"/>
              </w:rPr>
              <w:t xml:space="preserve"> exposé dans la Convention. </w:t>
            </w:r>
          </w:p>
          <w:p w:rsidR="00762243" w:rsidRPr="00591F1A" w:rsidRDefault="00762243" w:rsidP="00027EF9">
            <w:pPr>
              <w:pStyle w:val="ListParagraph"/>
              <w:widowControl w:val="0"/>
              <w:numPr>
                <w:ilvl w:val="0"/>
                <w:numId w:val="3"/>
              </w:numPr>
              <w:autoSpaceDE w:val="0"/>
              <w:autoSpaceDN w:val="0"/>
              <w:spacing w:after="20" w:line="259" w:lineRule="auto"/>
              <w:ind w:left="714" w:right="113" w:hanging="357"/>
              <w:contextualSpacing w:val="0"/>
              <w:jc w:val="both"/>
            </w:pPr>
            <w:r w:rsidRPr="00591F1A">
              <w:t>Créer des points d’information au sein des tribunaux d’instance dédiés aux personnes accompagnées</w:t>
            </w:r>
            <w:r w:rsidR="0005660B">
              <w:t>.</w:t>
            </w:r>
          </w:p>
          <w:p w:rsidR="0005660B" w:rsidRPr="0005660B" w:rsidRDefault="00762243" w:rsidP="00027EF9">
            <w:pPr>
              <w:pStyle w:val="ListParagraph"/>
              <w:widowControl w:val="0"/>
              <w:numPr>
                <w:ilvl w:val="0"/>
                <w:numId w:val="3"/>
              </w:numPr>
              <w:autoSpaceDE w:val="0"/>
              <w:autoSpaceDN w:val="0"/>
              <w:spacing w:after="20" w:line="259" w:lineRule="auto"/>
              <w:ind w:left="714" w:right="113" w:hanging="357"/>
              <w:contextualSpacing w:val="0"/>
              <w:jc w:val="both"/>
            </w:pPr>
            <w:r w:rsidRPr="00591F1A">
              <w:t xml:space="preserve">Abroger la possibilité pour le juge de fixer une mesure </w:t>
            </w:r>
            <w:r w:rsidR="0005660B">
              <w:t xml:space="preserve">d’une durée </w:t>
            </w:r>
            <w:r w:rsidRPr="00591F1A">
              <w:t>supérieure à 5 ans sans révision</w:t>
            </w:r>
            <w:r w:rsidR="0005660B">
              <w:t>.</w:t>
            </w:r>
          </w:p>
          <w:p w:rsidR="00892CAD" w:rsidRDefault="0005660B" w:rsidP="00027EF9">
            <w:pPr>
              <w:pStyle w:val="ListParagraph"/>
              <w:widowControl w:val="0"/>
              <w:numPr>
                <w:ilvl w:val="0"/>
                <w:numId w:val="3"/>
              </w:numPr>
              <w:autoSpaceDE w:val="0"/>
              <w:autoSpaceDN w:val="0"/>
              <w:spacing w:after="20" w:line="259" w:lineRule="auto"/>
              <w:ind w:right="113"/>
              <w:contextualSpacing w:val="0"/>
              <w:jc w:val="both"/>
            </w:pPr>
            <w:r>
              <w:lastRenderedPageBreak/>
              <w:t>C</w:t>
            </w:r>
            <w:r w:rsidR="00762243" w:rsidRPr="00591F1A">
              <w:t>réer un observatoire national des mesures d’accompagnement</w:t>
            </w:r>
            <w:r w:rsidR="00B37175">
              <w:t xml:space="preserve"> (analyse quantitative et qualitative)</w:t>
            </w:r>
            <w:r>
              <w:t>.</w:t>
            </w:r>
          </w:p>
          <w:p w:rsidR="00A0302E" w:rsidRPr="00A0302E" w:rsidRDefault="00A0302E" w:rsidP="00F85197">
            <w:pPr>
              <w:widowControl w:val="0"/>
              <w:autoSpaceDE w:val="0"/>
              <w:autoSpaceDN w:val="0"/>
              <w:spacing w:after="20" w:line="259" w:lineRule="auto"/>
              <w:ind w:right="113"/>
              <w:jc w:val="both"/>
            </w:pPr>
          </w:p>
        </w:tc>
      </w:tr>
    </w:tbl>
    <w:p w:rsidR="003C44B3" w:rsidRPr="001E26C4" w:rsidRDefault="003C44B3" w:rsidP="00F85197">
      <w:pPr>
        <w:spacing w:after="20"/>
        <w:rPr>
          <w:rFonts w:asciiTheme="majorHAnsi" w:eastAsiaTheme="majorEastAsia" w:hAnsiTheme="majorHAnsi" w:cstheme="majorBidi"/>
          <w:b/>
          <w:i/>
          <w:color w:val="2F5496" w:themeColor="accent5" w:themeShade="BF"/>
          <w:sz w:val="26"/>
          <w:highlight w:val="yellow"/>
          <w:lang w:eastAsia="en-GB"/>
        </w:rPr>
      </w:pPr>
      <w:bookmarkStart w:id="33" w:name="_Toc18076106"/>
      <w:r w:rsidRPr="001E26C4">
        <w:rPr>
          <w:highlight w:val="yellow"/>
        </w:rPr>
        <w:lastRenderedPageBreak/>
        <w:br w:type="page"/>
      </w:r>
    </w:p>
    <w:p w:rsidR="00E14192" w:rsidRDefault="00E14192" w:rsidP="007227BF">
      <w:pPr>
        <w:pStyle w:val="Heading3"/>
      </w:pPr>
      <w:bookmarkStart w:id="34" w:name="_Toc29546067"/>
      <w:r>
        <w:lastRenderedPageBreak/>
        <w:t xml:space="preserve">Article 13 </w:t>
      </w:r>
      <w:r w:rsidR="00C4409C">
        <w:t>–</w:t>
      </w:r>
      <w:r>
        <w:t xml:space="preserve"> Accès à la justice</w:t>
      </w:r>
      <w:bookmarkEnd w:id="33"/>
      <w:bookmarkEnd w:id="34"/>
    </w:p>
    <w:p w:rsidR="0072365E" w:rsidRDefault="0072365E" w:rsidP="00F85197">
      <w:pPr>
        <w:spacing w:after="20"/>
        <w:jc w:val="both"/>
      </w:pPr>
    </w:p>
    <w:p w:rsidR="00F66847" w:rsidRDefault="00E14192" w:rsidP="00F85197">
      <w:pPr>
        <w:spacing w:after="20"/>
        <w:jc w:val="both"/>
      </w:pPr>
      <w:r>
        <w:t xml:space="preserve">Le mouvement associatif constate des </w:t>
      </w:r>
      <w:r w:rsidR="00A04CFD" w:rsidRPr="00A04CFD">
        <w:rPr>
          <w:b/>
        </w:rPr>
        <w:t>dysfonctionnements</w:t>
      </w:r>
      <w:r w:rsidR="00A04CFD" w:rsidRPr="00AA00E8">
        <w:rPr>
          <w:b/>
        </w:rPr>
        <w:t xml:space="preserve"> </w:t>
      </w:r>
      <w:r w:rsidRPr="00AA00E8">
        <w:rPr>
          <w:b/>
        </w:rPr>
        <w:t>d’ordre général du cadre juridique</w:t>
      </w:r>
      <w:r>
        <w:t xml:space="preserve">. </w:t>
      </w:r>
    </w:p>
    <w:p w:rsidR="00F66847" w:rsidRDefault="00CA4967" w:rsidP="00F85197">
      <w:pPr>
        <w:spacing w:after="20"/>
        <w:jc w:val="both"/>
      </w:pPr>
      <w:r>
        <w:t>I</w:t>
      </w:r>
      <w:r w:rsidR="00E14192">
        <w:t>l n’existe pas de dispositif spécifique cré</w:t>
      </w:r>
      <w:r>
        <w:t>é</w:t>
      </w:r>
      <w:r w:rsidR="00E14192">
        <w:t xml:space="preserve"> par la loi de 2005, et les dispositifs de droit commun sont insuffisants</w:t>
      </w:r>
      <w:r w:rsidR="00F66847">
        <w:t xml:space="preserve"> et non adaptés aux personnes</w:t>
      </w:r>
      <w:r w:rsidR="00E14192">
        <w:t xml:space="preserve"> particulièrement vulnérables </w:t>
      </w:r>
      <w:r w:rsidR="00F66847">
        <w:t xml:space="preserve">en situation de handicap : </w:t>
      </w:r>
    </w:p>
    <w:p w:rsidR="00E14192" w:rsidRDefault="00F66847" w:rsidP="00F66847">
      <w:pPr>
        <w:pStyle w:val="ListParagraph"/>
        <w:numPr>
          <w:ilvl w:val="0"/>
          <w:numId w:val="12"/>
        </w:numPr>
        <w:spacing w:after="20"/>
        <w:jc w:val="both"/>
      </w:pPr>
      <w:r>
        <w:rPr>
          <w:b/>
        </w:rPr>
        <w:t>L</w:t>
      </w:r>
      <w:r w:rsidR="00E14192" w:rsidRPr="00F66847">
        <w:rPr>
          <w:b/>
        </w:rPr>
        <w:t>’aide juridictionnelle</w:t>
      </w:r>
      <w:r w:rsidR="00D62FE3">
        <w:rPr>
          <w:rStyle w:val="EndnoteReference"/>
          <w:b/>
        </w:rPr>
        <w:endnoteReference w:id="33"/>
      </w:r>
      <w:r w:rsidR="00E14192">
        <w:t xml:space="preserve"> n’est plus adapté</w:t>
      </w:r>
      <w:r w:rsidR="00265402">
        <w:t>e</w:t>
      </w:r>
      <w:r w:rsidR="00E14192">
        <w:t xml:space="preserve"> à la réalité sociale et juridique</w:t>
      </w:r>
      <w:r w:rsidR="00E14192">
        <w:rPr>
          <w:rStyle w:val="EndnoteReference"/>
        </w:rPr>
        <w:endnoteReference w:id="34"/>
      </w:r>
      <w:r w:rsidR="00E14192">
        <w:t xml:space="preserve">, sachant </w:t>
      </w:r>
      <w:r w:rsidR="00265402">
        <w:t xml:space="preserve">que les allocations de vie dont disposent les personnes, </w:t>
      </w:r>
      <w:r w:rsidR="006538B7">
        <w:t>pourtant</w:t>
      </w:r>
      <w:r>
        <w:t xml:space="preserve"> limitées, peuvent</w:t>
      </w:r>
      <w:r w:rsidR="00E14192">
        <w:t xml:space="preserve"> l</w:t>
      </w:r>
      <w:r w:rsidR="00265402">
        <w:t xml:space="preserve">es </w:t>
      </w:r>
      <w:r>
        <w:t>empêcher de l’obtenir ;</w:t>
      </w:r>
    </w:p>
    <w:p w:rsidR="008B774F" w:rsidRDefault="00F66847" w:rsidP="00F66847">
      <w:pPr>
        <w:pStyle w:val="ListParagraph"/>
        <w:numPr>
          <w:ilvl w:val="0"/>
          <w:numId w:val="12"/>
        </w:numPr>
        <w:spacing w:after="20"/>
        <w:jc w:val="both"/>
      </w:pPr>
      <w:r>
        <w:rPr>
          <w:b/>
        </w:rPr>
        <w:t>L</w:t>
      </w:r>
      <w:r w:rsidR="008B774F" w:rsidRPr="00F66847">
        <w:rPr>
          <w:b/>
        </w:rPr>
        <w:t xml:space="preserve">es lieux de justice et </w:t>
      </w:r>
      <w:r w:rsidR="00CD3C2F">
        <w:rPr>
          <w:b/>
        </w:rPr>
        <w:t xml:space="preserve">les </w:t>
      </w:r>
      <w:r w:rsidR="008B774F" w:rsidRPr="00F66847">
        <w:rPr>
          <w:b/>
        </w:rPr>
        <w:t>information</w:t>
      </w:r>
      <w:r w:rsidR="00CD3C2F">
        <w:rPr>
          <w:b/>
        </w:rPr>
        <w:t>s</w:t>
      </w:r>
      <w:r w:rsidR="008B774F">
        <w:t xml:space="preserve"> ne sont toujours pas accessibles. </w:t>
      </w:r>
    </w:p>
    <w:p w:rsidR="00E14192" w:rsidRDefault="00E14192" w:rsidP="00F85197">
      <w:pPr>
        <w:spacing w:after="20"/>
        <w:jc w:val="both"/>
      </w:pPr>
    </w:p>
    <w:p w:rsidR="00E14192" w:rsidRPr="000B589A" w:rsidRDefault="00E14192" w:rsidP="00F85197">
      <w:pPr>
        <w:spacing w:after="20"/>
        <w:jc w:val="both"/>
      </w:pPr>
      <w:r>
        <w:t xml:space="preserve">La possibilité d’ester en justice dépend ensuite de la </w:t>
      </w:r>
      <w:r w:rsidRPr="000116DB">
        <w:rPr>
          <w:b/>
        </w:rPr>
        <w:t>capacité juridique</w:t>
      </w:r>
      <w:r>
        <w:t>. Or, pour les majeurs sous tutelle, une autorisation du juge des tutelles ou du conseil de famille est nécessaire. L’autorisation est sollicitée sous forme de req</w:t>
      </w:r>
      <w:r w:rsidR="00CD3C2F">
        <w:t>uête et le juge des tutelles a trois</w:t>
      </w:r>
      <w:r>
        <w:t xml:space="preserve"> mois pour </w:t>
      </w:r>
      <w:r w:rsidRPr="000B589A">
        <w:t xml:space="preserve">statuer, mais aucune sanction n’est prévue en cas </w:t>
      </w:r>
      <w:r w:rsidR="00F66847" w:rsidRPr="000B589A">
        <w:t xml:space="preserve">de non-respect de ce </w:t>
      </w:r>
      <w:r w:rsidRPr="000B589A">
        <w:t xml:space="preserve">délai. </w:t>
      </w:r>
    </w:p>
    <w:p w:rsidR="00CD3C2F" w:rsidRPr="000B589A" w:rsidRDefault="00CD3C2F" w:rsidP="00F85197">
      <w:pPr>
        <w:spacing w:after="20"/>
        <w:jc w:val="both"/>
      </w:pPr>
    </w:p>
    <w:p w:rsidR="00E14192" w:rsidRPr="000B589A" w:rsidRDefault="00F66847" w:rsidP="00F85197">
      <w:pPr>
        <w:spacing w:after="20"/>
        <w:jc w:val="both"/>
      </w:pPr>
      <w:r w:rsidRPr="000B589A">
        <w:t>En outre,</w:t>
      </w:r>
      <w:r w:rsidR="00CD3C2F" w:rsidRPr="000B589A">
        <w:t xml:space="preserve"> la nouvelle procédure de </w:t>
      </w:r>
      <w:r w:rsidR="00CD3C2F" w:rsidRPr="000B589A">
        <w:rPr>
          <w:b/>
        </w:rPr>
        <w:t>recours contre les décisions des MDPH</w:t>
      </w:r>
      <w:r w:rsidR="002A7CA3" w:rsidRPr="000B589A">
        <w:rPr>
          <w:rStyle w:val="EndnoteReference"/>
          <w:b/>
        </w:rPr>
        <w:endnoteReference w:id="35"/>
      </w:r>
      <w:r w:rsidR="00CD3C2F" w:rsidRPr="000B589A">
        <w:t xml:space="preserve"> et </w:t>
      </w:r>
      <w:r w:rsidRPr="000B589A">
        <w:t>l</w:t>
      </w:r>
      <w:r w:rsidR="00E14192" w:rsidRPr="000B589A">
        <w:t xml:space="preserve">a réforme désignant les tribunaux de grande instance et cours d’appel compétents en matière de </w:t>
      </w:r>
      <w:r w:rsidR="00E14192" w:rsidRPr="000B589A">
        <w:rPr>
          <w:b/>
        </w:rPr>
        <w:t>contentieux de la sécurité sociale et d’admission à l’aide sociale</w:t>
      </w:r>
      <w:r w:rsidR="00C82059" w:rsidRPr="000B589A">
        <w:rPr>
          <w:rStyle w:val="EndnoteReference"/>
        </w:rPr>
        <w:endnoteReference w:id="36"/>
      </w:r>
      <w:r w:rsidR="00E14192" w:rsidRPr="000B589A">
        <w:t xml:space="preserve"> </w:t>
      </w:r>
      <w:r w:rsidR="00C82059" w:rsidRPr="000B589A">
        <w:t xml:space="preserve">complexifient </w:t>
      </w:r>
      <w:r w:rsidR="00E14192" w:rsidRPr="000B589A">
        <w:t>l’accès à la justice des personnes handicapées</w:t>
      </w:r>
      <w:r w:rsidR="008A5809" w:rsidRPr="000B589A">
        <w:t>, les obligeant</w:t>
      </w:r>
      <w:r w:rsidR="004B6B80" w:rsidRPr="000B589A">
        <w:t xml:space="preserve"> </w:t>
      </w:r>
      <w:r w:rsidR="00C82059" w:rsidRPr="000B589A">
        <w:t>souvent à prendre un avocat</w:t>
      </w:r>
      <w:r w:rsidR="008A5809" w:rsidRPr="000B589A">
        <w:t xml:space="preserve"> et entrainant d</w:t>
      </w:r>
      <w:r w:rsidR="00C82059" w:rsidRPr="000B589A">
        <w:t>es</w:t>
      </w:r>
      <w:r w:rsidR="00CD3C2F" w:rsidRPr="000B589A">
        <w:t xml:space="preserve"> associations </w:t>
      </w:r>
      <w:r w:rsidR="008A5809" w:rsidRPr="000B589A">
        <w:t xml:space="preserve">à </w:t>
      </w:r>
      <w:r w:rsidR="00CD3C2F" w:rsidRPr="000B589A">
        <w:t>se spécialiser dans le soutien juridique.</w:t>
      </w:r>
    </w:p>
    <w:p w:rsidR="00CD3C2F" w:rsidRDefault="00CD3C2F" w:rsidP="00F85197">
      <w:pPr>
        <w:spacing w:after="20"/>
        <w:jc w:val="both"/>
      </w:pPr>
    </w:p>
    <w:tbl>
      <w:tblPr>
        <w:tblStyle w:val="GridTable1Light-Accent1"/>
        <w:tblW w:w="0" w:type="auto"/>
        <w:tblLook w:val="04A0" w:firstRow="1" w:lastRow="0" w:firstColumn="1" w:lastColumn="0" w:noHBand="0" w:noVBand="1"/>
      </w:tblPr>
      <w:tblGrid>
        <w:gridCol w:w="9062"/>
      </w:tblGrid>
      <w:tr w:rsidR="00D0337F" w:rsidTr="002A7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F2F7FC"/>
          </w:tcPr>
          <w:p w:rsidR="00D0337F" w:rsidRDefault="00D0337F" w:rsidP="00F85197">
            <w:pPr>
              <w:pStyle w:val="Heading7"/>
              <w:spacing w:before="0" w:after="20" w:line="259" w:lineRule="auto"/>
              <w:outlineLvl w:val="6"/>
            </w:pPr>
            <w:bookmarkStart w:id="35" w:name="_Toc20128123"/>
            <w:bookmarkStart w:id="36" w:name="_Toc18076107"/>
            <w:r w:rsidRPr="00F2623F">
              <w:rPr>
                <w:rStyle w:val="Emphasis"/>
                <w:i/>
                <w:iCs/>
              </w:rPr>
              <w:t>Recommandations</w:t>
            </w:r>
            <w:bookmarkEnd w:id="35"/>
            <w:r>
              <w:t> </w:t>
            </w:r>
          </w:p>
          <w:p w:rsidR="00027EF9" w:rsidRPr="00027EF9" w:rsidRDefault="00027EF9" w:rsidP="00027EF9">
            <w:pPr>
              <w:rPr>
                <w:lang w:eastAsia="en-GB"/>
              </w:rPr>
            </w:pPr>
          </w:p>
          <w:p w:rsidR="00F66847" w:rsidRDefault="00A04CFD" w:rsidP="00F66847">
            <w:pPr>
              <w:pStyle w:val="ListParagraph"/>
              <w:widowControl w:val="0"/>
              <w:numPr>
                <w:ilvl w:val="0"/>
                <w:numId w:val="5"/>
              </w:numPr>
              <w:autoSpaceDE w:val="0"/>
              <w:autoSpaceDN w:val="0"/>
              <w:spacing w:after="20" w:line="259" w:lineRule="auto"/>
              <w:ind w:right="113"/>
              <w:contextualSpacing w:val="0"/>
              <w:jc w:val="both"/>
            </w:pPr>
            <w:r>
              <w:t xml:space="preserve">Créer des </w:t>
            </w:r>
            <w:r w:rsidR="00F66847" w:rsidRPr="00591F1A">
              <w:t>outils afin de sensibiliser les citoyens à la Convention en matière d’accès à la justice</w:t>
            </w:r>
            <w:r w:rsidR="00F66847">
              <w:t>.</w:t>
            </w:r>
          </w:p>
          <w:p w:rsidR="002E1CF4" w:rsidRPr="00A70513" w:rsidRDefault="00537664" w:rsidP="00027EF9">
            <w:pPr>
              <w:pStyle w:val="ListParagraph"/>
              <w:widowControl w:val="0"/>
              <w:numPr>
                <w:ilvl w:val="0"/>
                <w:numId w:val="5"/>
              </w:numPr>
              <w:autoSpaceDE w:val="0"/>
              <w:autoSpaceDN w:val="0"/>
              <w:spacing w:after="20" w:line="259" w:lineRule="auto"/>
              <w:ind w:right="113"/>
              <w:contextualSpacing w:val="0"/>
              <w:jc w:val="both"/>
            </w:pPr>
            <w:r>
              <w:t>P</w:t>
            </w:r>
            <w:r w:rsidR="002E1CF4" w:rsidRPr="00591F1A">
              <w:t>rendre des mesures actives pour permettre un recours effectif et faire valoir ses droits devant les juridictions, en supprimant les difficultés financières, d’accessibilité</w:t>
            </w:r>
            <w:r>
              <w:t xml:space="preserve">, </w:t>
            </w:r>
            <w:r w:rsidR="002E1CF4" w:rsidRPr="00591F1A">
              <w:t xml:space="preserve">de délais de traitement, de modes de preuve dans le cadre pénal et en assurant la protection </w:t>
            </w:r>
            <w:r w:rsidR="002E1CF4" w:rsidRPr="00591F1A">
              <w:lastRenderedPageBreak/>
              <w:t>contre les représailles.</w:t>
            </w:r>
          </w:p>
          <w:p w:rsidR="00A70513" w:rsidRPr="00591F1A" w:rsidRDefault="00A70513" w:rsidP="00027EF9">
            <w:pPr>
              <w:pStyle w:val="ListParagraph"/>
              <w:widowControl w:val="0"/>
              <w:numPr>
                <w:ilvl w:val="0"/>
                <w:numId w:val="5"/>
              </w:numPr>
              <w:autoSpaceDE w:val="0"/>
              <w:autoSpaceDN w:val="0"/>
              <w:spacing w:after="20" w:line="259" w:lineRule="auto"/>
              <w:ind w:right="113"/>
              <w:contextualSpacing w:val="0"/>
              <w:jc w:val="both"/>
            </w:pPr>
            <w:r>
              <w:t>Former les services judiciaires</w:t>
            </w:r>
            <w:r w:rsidR="00A04CFD">
              <w:t xml:space="preserve">, </w:t>
            </w:r>
            <w:r w:rsidR="00A04CFD" w:rsidRPr="003672B8">
              <w:t xml:space="preserve">les médecins </w:t>
            </w:r>
            <w:r w:rsidR="003672B8" w:rsidRPr="003672B8">
              <w:t>agréés</w:t>
            </w:r>
            <w:r w:rsidR="00A04CFD" w:rsidRPr="003672B8">
              <w:t xml:space="preserve"> auprès des tribunaux</w:t>
            </w:r>
            <w:r>
              <w:t xml:space="preserve"> et les magistrats aux</w:t>
            </w:r>
            <w:r w:rsidR="00482DD2">
              <w:t xml:space="preserve"> handicaps.</w:t>
            </w:r>
          </w:p>
          <w:p w:rsidR="006C07D4" w:rsidRPr="00F66847" w:rsidRDefault="006C07D4" w:rsidP="00F66847">
            <w:pPr>
              <w:widowControl w:val="0"/>
              <w:autoSpaceDE w:val="0"/>
              <w:autoSpaceDN w:val="0"/>
              <w:spacing w:after="20"/>
              <w:ind w:left="360" w:right="113"/>
              <w:jc w:val="both"/>
            </w:pPr>
          </w:p>
        </w:tc>
      </w:tr>
    </w:tbl>
    <w:p w:rsidR="003C44B3" w:rsidRDefault="003C44B3" w:rsidP="00F85197">
      <w:pPr>
        <w:spacing w:after="20"/>
        <w:rPr>
          <w:rFonts w:asciiTheme="majorHAnsi" w:eastAsiaTheme="majorEastAsia" w:hAnsiTheme="majorHAnsi" w:cstheme="majorBidi"/>
          <w:b/>
          <w:i/>
          <w:color w:val="2F5496" w:themeColor="accent5" w:themeShade="BF"/>
          <w:sz w:val="26"/>
          <w:lang w:eastAsia="en-GB"/>
        </w:rPr>
      </w:pPr>
      <w:r>
        <w:lastRenderedPageBreak/>
        <w:br w:type="page"/>
      </w:r>
    </w:p>
    <w:p w:rsidR="00E14192" w:rsidRPr="00A35121" w:rsidRDefault="00A35121" w:rsidP="007227BF">
      <w:pPr>
        <w:pStyle w:val="Heading3"/>
      </w:pPr>
      <w:bookmarkStart w:id="37" w:name="_Toc29546068"/>
      <w:r w:rsidRPr="00A35121">
        <w:lastRenderedPageBreak/>
        <w:t xml:space="preserve">Articles </w:t>
      </w:r>
      <w:r w:rsidR="00E14192" w:rsidRPr="00A35121">
        <w:t xml:space="preserve">14 à 17 </w:t>
      </w:r>
      <w:r w:rsidR="00C4409C">
        <w:t>–</w:t>
      </w:r>
      <w:r w:rsidR="00257D93">
        <w:t xml:space="preserve"> L</w:t>
      </w:r>
      <w:r w:rsidR="00E14192" w:rsidRPr="00A35121">
        <w:t>iberté et sécurité de la personne</w:t>
      </w:r>
      <w:bookmarkStart w:id="38" w:name="_Toc18076108"/>
      <w:bookmarkEnd w:id="36"/>
      <w:r w:rsidR="00F3386E">
        <w:t> ;</w:t>
      </w:r>
      <w:r w:rsidRPr="00A35121">
        <w:t xml:space="preserve"> d</w:t>
      </w:r>
      <w:r w:rsidR="00E14192" w:rsidRPr="00A35121">
        <w:t xml:space="preserve">roit de </w:t>
      </w:r>
      <w:r w:rsidRPr="00A35121">
        <w:t xml:space="preserve">ne pas être soumis à la torture, </w:t>
      </w:r>
      <w:r w:rsidR="00E14192" w:rsidRPr="00A35121">
        <w:t>à des peines ou traitements cruels, inhumains ou</w:t>
      </w:r>
      <w:bookmarkEnd w:id="38"/>
      <w:r w:rsidR="00E14192" w:rsidRPr="00A35121">
        <w:t xml:space="preserve"> dé</w:t>
      </w:r>
      <w:bookmarkStart w:id="39" w:name="_Toc18076109"/>
      <w:r w:rsidRPr="00A35121">
        <w:t xml:space="preserve">gradants, </w:t>
      </w:r>
      <w:r>
        <w:t xml:space="preserve">à l’exploitation, à la violence, </w:t>
      </w:r>
      <w:r w:rsidR="00E14192" w:rsidRPr="00A35121">
        <w:t>à la maltraitance</w:t>
      </w:r>
      <w:bookmarkStart w:id="40" w:name="_Toc18076110"/>
      <w:bookmarkEnd w:id="39"/>
      <w:r w:rsidR="00F3386E">
        <w:t> ;</w:t>
      </w:r>
      <w:r w:rsidR="00F3386E" w:rsidRPr="00A35121">
        <w:t xml:space="preserve"> </w:t>
      </w:r>
      <w:r w:rsidRPr="00A35121">
        <w:t>p</w:t>
      </w:r>
      <w:r w:rsidR="00E14192" w:rsidRPr="00A35121">
        <w:t>rotection de l’intégrité de la personne</w:t>
      </w:r>
      <w:bookmarkEnd w:id="37"/>
      <w:bookmarkEnd w:id="40"/>
    </w:p>
    <w:p w:rsidR="007E0299" w:rsidRPr="00621477" w:rsidRDefault="007E0299" w:rsidP="00F85197">
      <w:pPr>
        <w:spacing w:after="20"/>
        <w:jc w:val="both"/>
        <w:rPr>
          <w:sz w:val="18"/>
          <w:szCs w:val="18"/>
        </w:rPr>
      </w:pPr>
      <w:bookmarkStart w:id="41" w:name="_Toc18076111"/>
    </w:p>
    <w:p w:rsidR="007E0299" w:rsidRDefault="007E0299" w:rsidP="00F85197">
      <w:pPr>
        <w:pStyle w:val="Heading4"/>
        <w:spacing w:before="0" w:after="20"/>
        <w:ind w:left="708"/>
      </w:pPr>
      <w:r w:rsidRPr="007E0299">
        <w:t>Lieux de détention et de rétention</w:t>
      </w:r>
    </w:p>
    <w:p w:rsidR="00BE7A5B" w:rsidRPr="00621477" w:rsidRDefault="00BE7A5B" w:rsidP="00F85197">
      <w:pPr>
        <w:spacing w:after="20"/>
        <w:rPr>
          <w:sz w:val="18"/>
          <w:szCs w:val="18"/>
        </w:rPr>
      </w:pPr>
    </w:p>
    <w:p w:rsidR="00E14192" w:rsidRDefault="00912518" w:rsidP="00F85197">
      <w:pPr>
        <w:spacing w:after="20"/>
        <w:jc w:val="both"/>
      </w:pPr>
      <w:r>
        <w:t>La</w:t>
      </w:r>
      <w:r w:rsidR="00E14192" w:rsidRPr="00000F58">
        <w:t xml:space="preserve"> situation </w:t>
      </w:r>
      <w:r>
        <w:t xml:space="preserve">des prisons françaises est </w:t>
      </w:r>
      <w:r w:rsidR="00E14192" w:rsidRPr="00000F58">
        <w:t xml:space="preserve">particulièrement préoccupante </w:t>
      </w:r>
      <w:r>
        <w:t xml:space="preserve">car </w:t>
      </w:r>
      <w:r w:rsidR="00A04CFD">
        <w:t>ces dernières</w:t>
      </w:r>
      <w:r w:rsidR="00E14192" w:rsidRPr="00000F58">
        <w:t xml:space="preserve"> ne sont pas adaptées pour les personnes</w:t>
      </w:r>
      <w:r w:rsidR="008B774F">
        <w:t xml:space="preserve"> en situation de</w:t>
      </w:r>
      <w:r w:rsidR="00E14192" w:rsidRPr="00000F58">
        <w:t xml:space="preserve"> handicap</w:t>
      </w:r>
      <w:r w:rsidR="00E14192">
        <w:t>.</w:t>
      </w:r>
      <w:r w:rsidR="00E14192" w:rsidRPr="00000F58">
        <w:t xml:space="preserve"> </w:t>
      </w:r>
      <w:r w:rsidR="00E14192">
        <w:t>La</w:t>
      </w:r>
      <w:r w:rsidR="00E14192" w:rsidRPr="00000F58">
        <w:t xml:space="preserve"> France a</w:t>
      </w:r>
      <w:r w:rsidR="00E14192">
        <w:t xml:space="preserve"> d’ailleurs</w:t>
      </w:r>
      <w:r w:rsidR="00E14192" w:rsidRPr="00000F58">
        <w:t xml:space="preserve"> été condam</w:t>
      </w:r>
      <w:r w:rsidR="00983BD5">
        <w:t>née plusieurs fois par la Cour Européenne des D</w:t>
      </w:r>
      <w:r w:rsidR="00E14192" w:rsidRPr="00000F58">
        <w:t xml:space="preserve">roits de l’Homme pour des </w:t>
      </w:r>
      <w:r w:rsidR="00E14192" w:rsidRPr="00235D3C">
        <w:rPr>
          <w:b/>
        </w:rPr>
        <w:t>traitements inhumains et dégradants</w:t>
      </w:r>
      <w:r w:rsidR="00E14192" w:rsidRPr="00000F58">
        <w:t xml:space="preserve"> de détenus handicapés ou </w:t>
      </w:r>
      <w:r w:rsidR="00621477">
        <w:t>de</w:t>
      </w:r>
      <w:r w:rsidR="00E14192" w:rsidRPr="00000F58">
        <w:t xml:space="preserve"> façon générale pour </w:t>
      </w:r>
      <w:r w:rsidR="00E14192" w:rsidRPr="007E0299">
        <w:rPr>
          <w:b/>
        </w:rPr>
        <w:t>leur délaissement</w:t>
      </w:r>
      <w:r w:rsidR="00E14192">
        <w:t xml:space="preserve"> (insuffisance de soins</w:t>
      </w:r>
      <w:r w:rsidR="00D7466F">
        <w:t>, absence d’auxiliaires de vie</w:t>
      </w:r>
      <w:r w:rsidR="00E14192">
        <w:t>)</w:t>
      </w:r>
      <w:r w:rsidR="00621477">
        <w:t xml:space="preserve">, ce qui </w:t>
      </w:r>
      <w:r w:rsidR="00E14192" w:rsidRPr="00000F58">
        <w:t>constitue une maltraitance</w:t>
      </w:r>
      <w:r w:rsidR="00E14192">
        <w:rPr>
          <w:rStyle w:val="EndnoteReference"/>
        </w:rPr>
        <w:endnoteReference w:id="37"/>
      </w:r>
      <w:r w:rsidR="00E14192" w:rsidRPr="00000F58">
        <w:t xml:space="preserve">. </w:t>
      </w:r>
      <w:r w:rsidR="00E14192">
        <w:t>Qui plus est, les troubles psychiques (schizophr</w:t>
      </w:r>
      <w:r w:rsidR="00D7466F">
        <w:t>é</w:t>
      </w:r>
      <w:r w:rsidR="00E14192">
        <w:t>n</w:t>
      </w:r>
      <w:r w:rsidR="00D7466F">
        <w:t>i</w:t>
      </w:r>
      <w:r w:rsidR="00E14192">
        <w:t>e, b</w:t>
      </w:r>
      <w:r w:rsidR="0062297E">
        <w:t xml:space="preserve">ipolarité, dépression) </w:t>
      </w:r>
      <w:r w:rsidR="00CD0647">
        <w:rPr>
          <w:b/>
        </w:rPr>
        <w:t>sont sur</w:t>
      </w:r>
      <w:r w:rsidR="00E14192" w:rsidRPr="007E0299">
        <w:rPr>
          <w:b/>
        </w:rPr>
        <w:t>représentés en détention</w:t>
      </w:r>
      <w:r w:rsidR="00E14192">
        <w:t>, et ces personnes sont souvent emprisonnées sans distinction et victimes de violences de la part de codétenus.</w:t>
      </w:r>
      <w:r w:rsidR="00E14192" w:rsidRPr="00235D3C">
        <w:rPr>
          <w:color w:val="C00000"/>
        </w:rPr>
        <w:t xml:space="preserve"> </w:t>
      </w:r>
      <w:r w:rsidR="00A04CFD">
        <w:t>D’ailleurs de nombreux détenus présentent probablement des troubles non diagnostiqués par manque d’accès à des soins adaptés.</w:t>
      </w:r>
    </w:p>
    <w:p w:rsidR="00E14192" w:rsidRPr="00621477" w:rsidRDefault="00E14192" w:rsidP="00F85197">
      <w:pPr>
        <w:spacing w:after="20"/>
        <w:jc w:val="both"/>
        <w:rPr>
          <w:sz w:val="18"/>
          <w:szCs w:val="18"/>
        </w:rPr>
      </w:pPr>
    </w:p>
    <w:p w:rsidR="007E0299" w:rsidRDefault="007E0299" w:rsidP="00F85197">
      <w:pPr>
        <w:pStyle w:val="Heading4"/>
        <w:spacing w:before="0" w:after="20"/>
        <w:ind w:left="708"/>
      </w:pPr>
      <w:r>
        <w:t>H</w:t>
      </w:r>
      <w:r w:rsidRPr="00903C24">
        <w:t>ospitalisation sous contra</w:t>
      </w:r>
      <w:r w:rsidR="006538B7">
        <w:t>inte et soins sans consentement</w:t>
      </w:r>
    </w:p>
    <w:p w:rsidR="00D0636B" w:rsidRPr="00621477" w:rsidRDefault="00D0636B" w:rsidP="00F85197">
      <w:pPr>
        <w:spacing w:after="20"/>
        <w:rPr>
          <w:sz w:val="18"/>
          <w:szCs w:val="18"/>
        </w:rPr>
      </w:pPr>
    </w:p>
    <w:p w:rsidR="00FF4342" w:rsidRPr="008A5809" w:rsidRDefault="00A35121" w:rsidP="00F85197">
      <w:pPr>
        <w:spacing w:after="20"/>
        <w:jc w:val="both"/>
      </w:pPr>
      <w:r w:rsidRPr="008A5809">
        <w:t>L</w:t>
      </w:r>
      <w:r w:rsidR="00E14192" w:rsidRPr="008A5809">
        <w:t xml:space="preserve">’hospitalisation sous contrainte et </w:t>
      </w:r>
      <w:r w:rsidRPr="008A5809">
        <w:t>les</w:t>
      </w:r>
      <w:r w:rsidR="00E14192" w:rsidRPr="008A5809">
        <w:t xml:space="preserve"> soins sans consentement</w:t>
      </w:r>
      <w:r>
        <w:t xml:space="preserve"> </w:t>
      </w:r>
      <w:r w:rsidR="00D7466F" w:rsidRPr="008A5809">
        <w:rPr>
          <w:b/>
        </w:rPr>
        <w:t>n</w:t>
      </w:r>
      <w:r w:rsidR="0052209C" w:rsidRPr="008A5809">
        <w:rPr>
          <w:b/>
        </w:rPr>
        <w:t>e</w:t>
      </w:r>
      <w:r w:rsidR="00D7466F" w:rsidRPr="008A5809">
        <w:rPr>
          <w:b/>
        </w:rPr>
        <w:t xml:space="preserve"> </w:t>
      </w:r>
      <w:r w:rsidRPr="008A5809">
        <w:rPr>
          <w:b/>
        </w:rPr>
        <w:t>s</w:t>
      </w:r>
      <w:r w:rsidR="00D7466F" w:rsidRPr="008A5809">
        <w:rPr>
          <w:b/>
        </w:rPr>
        <w:t>on</w:t>
      </w:r>
      <w:r w:rsidRPr="008A5809">
        <w:rPr>
          <w:b/>
        </w:rPr>
        <w:t xml:space="preserve">t </w:t>
      </w:r>
      <w:r w:rsidR="00D7466F" w:rsidRPr="008A5809">
        <w:rPr>
          <w:b/>
        </w:rPr>
        <w:t>pas interdits</w:t>
      </w:r>
      <w:r w:rsidR="00D7466F">
        <w:t xml:space="preserve"> </w:t>
      </w:r>
      <w:r>
        <w:t>par différents</w:t>
      </w:r>
      <w:r w:rsidR="00E14192">
        <w:t xml:space="preserve"> régime</w:t>
      </w:r>
      <w:r>
        <w:t>s</w:t>
      </w:r>
      <w:r w:rsidR="00E14192">
        <w:t xml:space="preserve"> de protection</w:t>
      </w:r>
      <w:r w:rsidR="009956A7">
        <w:t xml:space="preserve"> </w:t>
      </w:r>
      <w:r>
        <w:t xml:space="preserve">et </w:t>
      </w:r>
      <w:r w:rsidRPr="00A35121">
        <w:t>concernai</w:t>
      </w:r>
      <w:r w:rsidR="00D7466F">
        <w:t>en</w:t>
      </w:r>
      <w:r w:rsidRPr="00A35121">
        <w:t>t</w:t>
      </w:r>
      <w:r w:rsidR="00620F9B">
        <w:t xml:space="preserve"> près de 96</w:t>
      </w:r>
      <w:r w:rsidR="003B6854">
        <w:t xml:space="preserve"> 000 personnes en soins psychiatriques </w:t>
      </w:r>
      <w:r w:rsidR="00E14192" w:rsidRPr="00620F9B">
        <w:t xml:space="preserve">en </w:t>
      </w:r>
      <w:r w:rsidR="00620F9B" w:rsidRPr="00620F9B">
        <w:t>2017</w:t>
      </w:r>
      <w:r w:rsidR="00620F9B" w:rsidRPr="00620F9B">
        <w:rPr>
          <w:rStyle w:val="EndnoteReference"/>
        </w:rPr>
        <w:endnoteReference w:id="38"/>
      </w:r>
      <w:r w:rsidR="00E14192" w:rsidRPr="00620F9B">
        <w:t>.</w:t>
      </w:r>
    </w:p>
    <w:p w:rsidR="00FF4342" w:rsidRPr="00FF4342" w:rsidRDefault="00FF4342" w:rsidP="00FF4342">
      <w:pPr>
        <w:spacing w:line="240" w:lineRule="auto"/>
        <w:jc w:val="both"/>
        <w:rPr>
          <w:rFonts w:ascii="Calibri" w:eastAsia="Times New Roman" w:hAnsi="Calibri" w:cs="Calibri"/>
          <w:lang w:eastAsia="fr-FR"/>
        </w:rPr>
      </w:pPr>
      <w:r w:rsidRPr="00FF4342">
        <w:rPr>
          <w:rFonts w:ascii="Calibri" w:eastAsia="Times New Roman" w:hAnsi="Calibri" w:cs="Calibri"/>
          <w:lang w:eastAsia="fr-FR"/>
        </w:rPr>
        <w:t>Les personnes en situation de handicap et leurs familles contestent que soi</w:t>
      </w:r>
      <w:r w:rsidR="00A04CFD">
        <w:rPr>
          <w:rFonts w:ascii="Calibri" w:eastAsia="Times New Roman" w:hAnsi="Calibri" w:cs="Calibri"/>
          <w:lang w:eastAsia="fr-FR"/>
        </w:rPr>
        <w:t>en</w:t>
      </w:r>
      <w:r w:rsidRPr="00FF4342">
        <w:rPr>
          <w:rFonts w:ascii="Calibri" w:eastAsia="Times New Roman" w:hAnsi="Calibri" w:cs="Calibri"/>
          <w:lang w:eastAsia="fr-FR"/>
        </w:rPr>
        <w:t>t encore utilisées en France des </w:t>
      </w:r>
      <w:r w:rsidRPr="00FF4342">
        <w:rPr>
          <w:rFonts w:ascii="Calibri" w:eastAsia="Times New Roman" w:hAnsi="Calibri" w:cs="Calibri"/>
          <w:b/>
          <w:bCs/>
          <w:lang w:eastAsia="fr-FR"/>
        </w:rPr>
        <w:t>pratiques psychiatriques </w:t>
      </w:r>
      <w:r w:rsidRPr="00FF4342">
        <w:rPr>
          <w:rFonts w:ascii="Calibri" w:eastAsia="Times New Roman" w:hAnsi="Calibri" w:cs="Calibri"/>
          <w:lang w:eastAsia="fr-FR"/>
        </w:rPr>
        <w:t>qu'ils jugent attentatoires à la dignité, comme l'isolement, la contention, le port du pyjama, ou le « packing ».</w:t>
      </w:r>
      <w:r w:rsidR="00B60B79">
        <w:rPr>
          <w:rFonts w:ascii="Calibri" w:eastAsia="Times New Roman" w:hAnsi="Calibri" w:cs="Calibri"/>
          <w:lang w:eastAsia="fr-FR"/>
        </w:rPr>
        <w:t xml:space="preserve"> </w:t>
      </w:r>
      <w:r w:rsidR="00045999">
        <w:rPr>
          <w:rFonts w:ascii="Calibri" w:eastAsia="Times New Roman" w:hAnsi="Calibri" w:cs="Calibri"/>
          <w:lang w:eastAsia="fr-FR"/>
        </w:rPr>
        <w:t xml:space="preserve">Qui plus est, les recommandations </w:t>
      </w:r>
      <w:r w:rsidR="009318D8">
        <w:rPr>
          <w:rFonts w:ascii="Calibri" w:eastAsia="Times New Roman" w:hAnsi="Calibri" w:cs="Calibri"/>
          <w:lang w:eastAsia="fr-FR"/>
        </w:rPr>
        <w:t xml:space="preserve">de bonne pratique </w:t>
      </w:r>
      <w:r w:rsidR="00045999">
        <w:rPr>
          <w:rFonts w:ascii="Calibri" w:eastAsia="Times New Roman" w:hAnsi="Calibri" w:cs="Calibri"/>
          <w:lang w:eastAsia="fr-FR"/>
        </w:rPr>
        <w:t>de la</w:t>
      </w:r>
      <w:r w:rsidR="002F64CA">
        <w:rPr>
          <w:rFonts w:ascii="Calibri" w:eastAsia="Times New Roman" w:hAnsi="Calibri" w:cs="Calibri"/>
          <w:lang w:eastAsia="fr-FR"/>
        </w:rPr>
        <w:t xml:space="preserve"> Haute Autorité de Santé</w:t>
      </w:r>
      <w:r w:rsidR="00045999">
        <w:rPr>
          <w:rFonts w:ascii="Calibri" w:eastAsia="Times New Roman" w:hAnsi="Calibri" w:cs="Calibri"/>
          <w:lang w:eastAsia="fr-FR"/>
        </w:rPr>
        <w:t xml:space="preserve"> </w:t>
      </w:r>
      <w:r w:rsidR="002F64CA">
        <w:rPr>
          <w:rFonts w:ascii="Calibri" w:eastAsia="Times New Roman" w:hAnsi="Calibri" w:cs="Calibri"/>
          <w:lang w:eastAsia="fr-FR"/>
        </w:rPr>
        <w:t>(</w:t>
      </w:r>
      <w:r w:rsidR="00045999">
        <w:rPr>
          <w:rFonts w:ascii="Calibri" w:eastAsia="Times New Roman" w:hAnsi="Calibri" w:cs="Calibri"/>
          <w:lang w:eastAsia="fr-FR"/>
        </w:rPr>
        <w:t>HAS</w:t>
      </w:r>
      <w:r w:rsidR="002F64CA">
        <w:rPr>
          <w:rFonts w:ascii="Calibri" w:eastAsia="Times New Roman" w:hAnsi="Calibri" w:cs="Calibri"/>
          <w:lang w:eastAsia="fr-FR"/>
        </w:rPr>
        <w:t>)</w:t>
      </w:r>
      <w:r w:rsidR="00045999">
        <w:rPr>
          <w:rFonts w:ascii="Calibri" w:eastAsia="Times New Roman" w:hAnsi="Calibri" w:cs="Calibri"/>
          <w:lang w:eastAsia="fr-FR"/>
        </w:rPr>
        <w:t xml:space="preserve"> </w:t>
      </w:r>
      <w:r w:rsidR="009318D8">
        <w:rPr>
          <w:rFonts w:ascii="Calibri" w:eastAsia="Times New Roman" w:hAnsi="Calibri" w:cs="Calibri"/>
          <w:lang w:eastAsia="fr-FR"/>
        </w:rPr>
        <w:t>ne sont pas respectées</w:t>
      </w:r>
      <w:r w:rsidR="002F64CA">
        <w:rPr>
          <w:rStyle w:val="EndnoteReference"/>
          <w:rFonts w:ascii="Calibri" w:eastAsia="Times New Roman" w:hAnsi="Calibri" w:cs="Calibri"/>
          <w:lang w:eastAsia="fr-FR"/>
        </w:rPr>
        <w:endnoteReference w:id="39"/>
      </w:r>
      <w:r w:rsidR="009318D8">
        <w:rPr>
          <w:rFonts w:ascii="Calibri" w:eastAsia="Times New Roman" w:hAnsi="Calibri" w:cs="Calibri"/>
          <w:lang w:eastAsia="fr-FR"/>
        </w:rPr>
        <w:t xml:space="preserve">. </w:t>
      </w:r>
    </w:p>
    <w:p w:rsidR="00FF4342" w:rsidRDefault="00FF4342" w:rsidP="00014D90">
      <w:pPr>
        <w:spacing w:after="20" w:line="240" w:lineRule="auto"/>
        <w:jc w:val="both"/>
        <w:rPr>
          <w:rFonts w:ascii="Calibri" w:eastAsia="Times New Roman" w:hAnsi="Calibri" w:cs="Calibri"/>
          <w:lang w:eastAsia="fr-FR"/>
        </w:rPr>
      </w:pPr>
      <w:r w:rsidRPr="00014D90">
        <w:rPr>
          <w:rFonts w:ascii="Calibri" w:eastAsia="Times New Roman" w:hAnsi="Calibri" w:cs="Calibri"/>
          <w:lang w:eastAsia="fr-FR"/>
        </w:rPr>
        <w:lastRenderedPageBreak/>
        <w:t>Quant aux traitements</w:t>
      </w:r>
      <w:r w:rsidR="00983BD5">
        <w:rPr>
          <w:rFonts w:ascii="Calibri" w:eastAsia="Times New Roman" w:hAnsi="Calibri" w:cs="Calibri"/>
          <w:lang w:eastAsia="fr-FR"/>
        </w:rPr>
        <w:t xml:space="preserve"> </w:t>
      </w:r>
      <w:r w:rsidR="00A34549" w:rsidRPr="00014D90">
        <w:rPr>
          <w:rFonts w:ascii="Calibri" w:eastAsia="Times New Roman" w:hAnsi="Calibri" w:cs="Calibri"/>
          <w:lang w:eastAsia="fr-FR"/>
        </w:rPr>
        <w:t>médicamenteux</w:t>
      </w:r>
      <w:r w:rsidR="008D002C">
        <w:rPr>
          <w:rFonts w:ascii="Calibri" w:eastAsia="Times New Roman" w:hAnsi="Calibri" w:cs="Calibri"/>
          <w:lang w:eastAsia="fr-FR"/>
        </w:rPr>
        <w:t xml:space="preserve"> ou non</w:t>
      </w:r>
      <w:r w:rsidR="00A34549" w:rsidRPr="00014D90">
        <w:rPr>
          <w:rFonts w:ascii="Calibri" w:eastAsia="Times New Roman" w:hAnsi="Calibri" w:cs="Calibri"/>
          <w:lang w:eastAsia="fr-FR"/>
        </w:rPr>
        <w:t xml:space="preserve">, c’est </w:t>
      </w:r>
      <w:r w:rsidRPr="00014D90">
        <w:rPr>
          <w:rFonts w:ascii="Calibri" w:eastAsia="Times New Roman" w:hAnsi="Calibri" w:cs="Calibri"/>
          <w:b/>
          <w:lang w:eastAsia="fr-FR"/>
        </w:rPr>
        <w:t>l'absence</w:t>
      </w:r>
      <w:r w:rsidRPr="00014D90">
        <w:rPr>
          <w:rFonts w:ascii="Calibri" w:eastAsia="Times New Roman" w:hAnsi="Calibri" w:cs="Calibri"/>
          <w:lang w:eastAsia="fr-FR"/>
        </w:rPr>
        <w:t> de réunion de concertation</w:t>
      </w:r>
      <w:r>
        <w:rPr>
          <w:rFonts w:ascii="Calibri" w:eastAsia="Times New Roman" w:hAnsi="Calibri" w:cs="Calibri"/>
          <w:lang w:eastAsia="fr-FR"/>
        </w:rPr>
        <w:t xml:space="preserve"> </w:t>
      </w:r>
      <w:r w:rsidRPr="00FF4342">
        <w:rPr>
          <w:rFonts w:ascii="Calibri" w:eastAsia="Times New Roman" w:hAnsi="Calibri" w:cs="Calibri"/>
          <w:lang w:eastAsia="fr-FR"/>
        </w:rPr>
        <w:t>pluridisciplinaires</w:t>
      </w:r>
      <w:r w:rsidR="006D44F2">
        <w:rPr>
          <w:rFonts w:ascii="Calibri" w:eastAsia="Times New Roman" w:hAnsi="Calibri" w:cs="Calibri"/>
          <w:lang w:eastAsia="fr-FR"/>
        </w:rPr>
        <w:t xml:space="preserve"> qui pose problème</w:t>
      </w:r>
      <w:r w:rsidR="008A5809">
        <w:rPr>
          <w:rFonts w:ascii="Calibri" w:eastAsia="Times New Roman" w:hAnsi="Calibri" w:cs="Calibri"/>
          <w:lang w:eastAsia="fr-FR"/>
        </w:rPr>
        <w:t>, et ce malgré la circulaire</w:t>
      </w:r>
      <w:r w:rsidR="00A34549">
        <w:rPr>
          <w:rFonts w:ascii="Calibri" w:eastAsia="Times New Roman" w:hAnsi="Calibri" w:cs="Calibri"/>
          <w:lang w:eastAsia="fr-FR"/>
        </w:rPr>
        <w:t xml:space="preserve"> de janvier 2019</w:t>
      </w:r>
      <w:r w:rsidR="00A34549" w:rsidRPr="00014D90">
        <w:rPr>
          <w:vertAlign w:val="superscript"/>
        </w:rPr>
        <w:endnoteReference w:id="40"/>
      </w:r>
      <w:r w:rsidR="00A34549" w:rsidRPr="00014D90">
        <w:rPr>
          <w:rFonts w:ascii="Calibri" w:eastAsia="Times New Roman" w:hAnsi="Calibri" w:cs="Calibri"/>
          <w:vertAlign w:val="superscript"/>
          <w:lang w:eastAsia="fr-FR"/>
        </w:rPr>
        <w:t xml:space="preserve"> </w:t>
      </w:r>
      <w:r w:rsidR="00A34549">
        <w:rPr>
          <w:rFonts w:ascii="Calibri" w:eastAsia="Times New Roman" w:hAnsi="Calibri" w:cs="Calibri"/>
          <w:lang w:eastAsia="fr-FR"/>
        </w:rPr>
        <w:t>qui prévoit pourtant l’</w:t>
      </w:r>
      <w:r w:rsidR="00A34549" w:rsidRPr="00FF4342">
        <w:rPr>
          <w:rFonts w:ascii="Calibri" w:eastAsia="Times New Roman" w:hAnsi="Calibri" w:cs="Calibri"/>
          <w:lang w:eastAsia="fr-FR"/>
        </w:rPr>
        <w:t>élaboration d'un programme de soins et d'accompagnement social personnalisé, rest</w:t>
      </w:r>
      <w:r w:rsidR="00A34549">
        <w:rPr>
          <w:rFonts w:ascii="Calibri" w:eastAsia="Times New Roman" w:hAnsi="Calibri" w:cs="Calibri"/>
          <w:lang w:eastAsia="fr-FR"/>
        </w:rPr>
        <w:t xml:space="preserve">itué et discuté avec le patient, </w:t>
      </w:r>
      <w:r w:rsidR="00A34549" w:rsidRPr="00FF4342">
        <w:rPr>
          <w:rFonts w:ascii="Calibri" w:eastAsia="Times New Roman" w:hAnsi="Calibri" w:cs="Calibri"/>
          <w:lang w:eastAsia="fr-FR"/>
        </w:rPr>
        <w:t>la participation du médecin traitant</w:t>
      </w:r>
      <w:r w:rsidR="00A34549">
        <w:rPr>
          <w:rFonts w:ascii="Calibri" w:eastAsia="Times New Roman" w:hAnsi="Calibri" w:cs="Calibri"/>
          <w:lang w:eastAsia="fr-FR"/>
        </w:rPr>
        <w:t xml:space="preserve"> et l'information des proches</w:t>
      </w:r>
      <w:r w:rsidR="00621477">
        <w:rPr>
          <w:rFonts w:ascii="Calibri" w:eastAsia="Times New Roman" w:hAnsi="Calibri" w:cs="Calibri"/>
          <w:lang w:eastAsia="fr-FR"/>
        </w:rPr>
        <w:t>,</w:t>
      </w:r>
      <w:r w:rsidR="00A34549">
        <w:rPr>
          <w:rFonts w:ascii="Calibri" w:eastAsia="Times New Roman" w:hAnsi="Calibri" w:cs="Calibri"/>
          <w:lang w:eastAsia="fr-FR"/>
        </w:rPr>
        <w:t xml:space="preserve"> car</w:t>
      </w:r>
      <w:r w:rsidR="00A34549" w:rsidRPr="00FF4342">
        <w:rPr>
          <w:rFonts w:ascii="Calibri" w:eastAsia="Times New Roman" w:hAnsi="Calibri" w:cs="Calibri"/>
          <w:lang w:eastAsia="fr-FR"/>
        </w:rPr>
        <w:t xml:space="preserve"> </w:t>
      </w:r>
      <w:r w:rsidR="006D44F2">
        <w:rPr>
          <w:rFonts w:ascii="Calibri" w:eastAsia="Times New Roman" w:hAnsi="Calibri" w:cs="Calibri"/>
          <w:lang w:eastAsia="fr-FR"/>
        </w:rPr>
        <w:t>la possible instrumentalisation de l’</w:t>
      </w:r>
      <w:r w:rsidR="00A34549" w:rsidRPr="00FF4342">
        <w:rPr>
          <w:rFonts w:ascii="Calibri" w:eastAsia="Times New Roman" w:hAnsi="Calibri" w:cs="Calibri"/>
          <w:lang w:eastAsia="fr-FR"/>
        </w:rPr>
        <w:t xml:space="preserve">accord du patient </w:t>
      </w:r>
      <w:r w:rsidR="006D44F2">
        <w:rPr>
          <w:rFonts w:ascii="Calibri" w:eastAsia="Times New Roman" w:hAnsi="Calibri" w:cs="Calibri"/>
          <w:lang w:eastAsia="fr-FR"/>
        </w:rPr>
        <w:t>confine au</w:t>
      </w:r>
      <w:r w:rsidR="00A34549" w:rsidRPr="00FF4342">
        <w:rPr>
          <w:rFonts w:ascii="Calibri" w:eastAsia="Times New Roman" w:hAnsi="Calibri" w:cs="Calibri"/>
          <w:lang w:eastAsia="fr-FR"/>
        </w:rPr>
        <w:t xml:space="preserve"> non-respect des bonnes pratiques</w:t>
      </w:r>
      <w:r w:rsidR="00A34549">
        <w:rPr>
          <w:rFonts w:ascii="Calibri" w:eastAsia="Times New Roman" w:hAnsi="Calibri" w:cs="Calibri"/>
          <w:lang w:eastAsia="fr-FR"/>
        </w:rPr>
        <w:t xml:space="preserve">. </w:t>
      </w:r>
    </w:p>
    <w:p w:rsidR="00E14192" w:rsidRDefault="00E14192" w:rsidP="00014D90">
      <w:pPr>
        <w:spacing w:after="20"/>
        <w:jc w:val="both"/>
      </w:pPr>
      <w:r w:rsidRPr="00014D90">
        <w:rPr>
          <w:rFonts w:ascii="Calibri" w:eastAsia="Times New Roman" w:hAnsi="Calibri" w:cs="Calibri"/>
          <w:lang w:eastAsia="fr-FR"/>
        </w:rPr>
        <w:t>En outre, la</w:t>
      </w:r>
      <w:r w:rsidRPr="00000F58">
        <w:t xml:space="preserve"> législation française n’empêche pas complètement toute mesure de </w:t>
      </w:r>
      <w:r w:rsidRPr="00EA0692">
        <w:rPr>
          <w:b/>
        </w:rPr>
        <w:t>stérilisation forcée</w:t>
      </w:r>
      <w:r w:rsidR="008B774F">
        <w:t xml:space="preserve">, </w:t>
      </w:r>
      <w:r w:rsidR="00D7466F">
        <w:t>essentiellement</w:t>
      </w:r>
      <w:r w:rsidRPr="00000F58">
        <w:t xml:space="preserve"> des femmes et des filles</w:t>
      </w:r>
      <w:r w:rsidR="008B774F">
        <w:t xml:space="preserve"> en situation de handicap</w:t>
      </w:r>
      <w:r w:rsidRPr="00000F58">
        <w:t xml:space="preserve">. </w:t>
      </w:r>
      <w:r>
        <w:t>La stérilisation à visée contraceptive des majeurs protégés</w:t>
      </w:r>
      <w:r w:rsidR="00D7466F">
        <w:t xml:space="preserve"> </w:t>
      </w:r>
      <w:r>
        <w:t xml:space="preserve">peut </w:t>
      </w:r>
      <w:r w:rsidR="00751CDA">
        <w:t>encore</w:t>
      </w:r>
      <w:r>
        <w:t xml:space="preserve"> </w:t>
      </w:r>
      <w:r w:rsidR="00621477">
        <w:t xml:space="preserve">être </w:t>
      </w:r>
      <w:r>
        <w:t>pratiquée sur une personne majeure sous tutelle ou curatelle lorsqu’il existe une contre-indication médicale absolue aux méthodes de contraception ou une impossibilité avérée de le</w:t>
      </w:r>
      <w:r w:rsidR="00621477">
        <w:t xml:space="preserve">s mettre en œuvre efficacement – </w:t>
      </w:r>
      <w:r>
        <w:t>encore une fois la décision est subordonn</w:t>
      </w:r>
      <w:r w:rsidR="007F778F">
        <w:t>ée au juge des tutelles.</w:t>
      </w:r>
      <w:r w:rsidR="00DD1086">
        <w:t xml:space="preserve"> Il n’existe pas de données récentes sur le nombre de femmes</w:t>
      </w:r>
      <w:r w:rsidR="00797536">
        <w:t xml:space="preserve"> ayant été stérilisées de force</w:t>
      </w:r>
      <w:r w:rsidR="00DD1086">
        <w:t>, le dernier rapport de l’</w:t>
      </w:r>
      <w:r w:rsidR="00A04CFD">
        <w:rPr>
          <w:rStyle w:val="fielditem"/>
        </w:rPr>
        <w:t>Inspection Générale des Affaires S</w:t>
      </w:r>
      <w:r w:rsidR="007F778F" w:rsidRPr="007F778F">
        <w:rPr>
          <w:rStyle w:val="fielditem"/>
        </w:rPr>
        <w:t>ociales</w:t>
      </w:r>
      <w:r w:rsidR="007F778F">
        <w:rPr>
          <w:rStyle w:val="field"/>
        </w:rPr>
        <w:t xml:space="preserve"> (IGAS) </w:t>
      </w:r>
      <w:r w:rsidR="00DD1086">
        <w:rPr>
          <w:rStyle w:val="field"/>
        </w:rPr>
        <w:t>datant de 1996</w:t>
      </w:r>
      <w:r w:rsidR="007F778F">
        <w:rPr>
          <w:rStyle w:val="EndnoteReference"/>
        </w:rPr>
        <w:endnoteReference w:id="41"/>
      </w:r>
      <w:r w:rsidR="007F778F">
        <w:t xml:space="preserve">. </w:t>
      </w:r>
    </w:p>
    <w:p w:rsidR="00E14192" w:rsidRPr="00621477" w:rsidRDefault="00E14192" w:rsidP="00F85197">
      <w:pPr>
        <w:spacing w:after="20"/>
        <w:jc w:val="both"/>
        <w:rPr>
          <w:sz w:val="18"/>
          <w:szCs w:val="18"/>
        </w:rPr>
      </w:pPr>
    </w:p>
    <w:p w:rsidR="00117782" w:rsidRPr="00117782" w:rsidRDefault="00117782" w:rsidP="00F85197">
      <w:pPr>
        <w:pStyle w:val="Heading4"/>
        <w:spacing w:before="0" w:after="20"/>
        <w:ind w:left="708"/>
      </w:pPr>
      <w:r w:rsidRPr="00117782">
        <w:t>Violences et maltraitances</w:t>
      </w:r>
    </w:p>
    <w:p w:rsidR="0052209C" w:rsidRPr="00621477" w:rsidRDefault="0052209C" w:rsidP="00F85197">
      <w:pPr>
        <w:spacing w:after="20"/>
        <w:jc w:val="both"/>
        <w:rPr>
          <w:sz w:val="18"/>
          <w:szCs w:val="18"/>
        </w:rPr>
      </w:pPr>
    </w:p>
    <w:p w:rsidR="00E14192" w:rsidRDefault="00D75C92" w:rsidP="00F85197">
      <w:pPr>
        <w:spacing w:after="20"/>
        <w:jc w:val="both"/>
      </w:pPr>
      <w:r>
        <w:t>Les</w:t>
      </w:r>
      <w:r w:rsidR="00E14192" w:rsidRPr="00117782">
        <w:rPr>
          <w:b/>
        </w:rPr>
        <w:t xml:space="preserve"> femmes handicapées</w:t>
      </w:r>
      <w:r>
        <w:t xml:space="preserve"> </w:t>
      </w:r>
      <w:r w:rsidR="00E14192">
        <w:t xml:space="preserve">sont </w:t>
      </w:r>
      <w:r w:rsidR="00E14192" w:rsidRPr="00E221F7">
        <w:t>particulière</w:t>
      </w:r>
      <w:r w:rsidR="00E14192">
        <w:t>ment</w:t>
      </w:r>
      <w:r w:rsidR="00E14192" w:rsidRPr="00E221F7">
        <w:t xml:space="preserve"> vulnérab</w:t>
      </w:r>
      <w:r w:rsidR="00E14192">
        <w:t>les</w:t>
      </w:r>
      <w:r w:rsidR="00E14192" w:rsidRPr="00E221F7">
        <w:t xml:space="preserve"> face à cet enjeu de société majeur</w:t>
      </w:r>
      <w:r w:rsidR="00E14192">
        <w:t xml:space="preserve"> que constitue</w:t>
      </w:r>
      <w:r w:rsidR="00D7466F">
        <w:t>nt</w:t>
      </w:r>
      <w:r w:rsidR="00E14192">
        <w:t xml:space="preserve"> les </w:t>
      </w:r>
      <w:r w:rsidR="00E14192" w:rsidRPr="00E221F7">
        <w:rPr>
          <w:b/>
        </w:rPr>
        <w:t>violences conjugales</w:t>
      </w:r>
      <w:r w:rsidR="00E14192">
        <w:rPr>
          <w:b/>
        </w:rPr>
        <w:t xml:space="preserve">, </w:t>
      </w:r>
      <w:r w:rsidR="00E14192">
        <w:t xml:space="preserve">et il est primordial d’en tenir compte dans les prochaines politiques publiques. Plus grave encore, la stérilisation forcée peut accroître la vulnérabilité d'une jeune femme handicapée face à des </w:t>
      </w:r>
      <w:r w:rsidR="00E14192" w:rsidRPr="00BB1B04">
        <w:rPr>
          <w:b/>
        </w:rPr>
        <w:t>violences sexuelles</w:t>
      </w:r>
      <w:r w:rsidR="00E14192">
        <w:t>.</w:t>
      </w:r>
    </w:p>
    <w:p w:rsidR="00E14192" w:rsidRPr="00E221F7" w:rsidRDefault="00E14192" w:rsidP="00F85197">
      <w:pPr>
        <w:spacing w:after="20"/>
        <w:jc w:val="both"/>
      </w:pPr>
      <w:r w:rsidRPr="00000F58">
        <w:t xml:space="preserve">Les témoignages sont nombreux de cas de </w:t>
      </w:r>
      <w:r w:rsidRPr="00E221F7">
        <w:rPr>
          <w:b/>
        </w:rPr>
        <w:t>maltraitance</w:t>
      </w:r>
      <w:r w:rsidR="00D7466F">
        <w:rPr>
          <w:b/>
        </w:rPr>
        <w:t>s</w:t>
      </w:r>
      <w:r w:rsidRPr="00E221F7">
        <w:rPr>
          <w:b/>
        </w:rPr>
        <w:t xml:space="preserve"> </w:t>
      </w:r>
      <w:r w:rsidRPr="00621477">
        <w:t>en établissement</w:t>
      </w:r>
      <w:r w:rsidRPr="00000F58">
        <w:t>, de violence intrafamiliale ou d’agressions sous diverses formes dans la rue.</w:t>
      </w:r>
      <w:r>
        <w:t xml:space="preserve"> </w:t>
      </w:r>
      <w:r w:rsidR="00D7466F">
        <w:t>Pour autant, l</w:t>
      </w:r>
      <w:r>
        <w:t xml:space="preserve">es signalements sont rares, les lieux d’hébergement et de signalement difficilement accessibles, </w:t>
      </w:r>
      <w:r w:rsidRPr="00E221F7">
        <w:t xml:space="preserve">et la situation reste souvent inchangée une fois le signalement </w:t>
      </w:r>
      <w:r w:rsidR="00621477">
        <w:t>effectué</w:t>
      </w:r>
      <w:r w:rsidRPr="00E221F7">
        <w:t xml:space="preserve">. </w:t>
      </w:r>
    </w:p>
    <w:p w:rsidR="00E14192" w:rsidRDefault="00E14192" w:rsidP="00F85197">
      <w:pPr>
        <w:spacing w:after="20"/>
        <w:jc w:val="both"/>
      </w:pPr>
      <w:r>
        <w:t xml:space="preserve">Au sein du </w:t>
      </w:r>
      <w:r w:rsidRPr="00E221F7">
        <w:rPr>
          <w:b/>
        </w:rPr>
        <w:t>domicile familial</w:t>
      </w:r>
      <w:r>
        <w:t xml:space="preserve">, </w:t>
      </w:r>
      <w:r w:rsidRPr="00E221F7">
        <w:rPr>
          <w:b/>
        </w:rPr>
        <w:t>l’épuisement des aidants</w:t>
      </w:r>
      <w:r>
        <w:t xml:space="preserve"> conduit parfois à de la maltraitance involontaire. </w:t>
      </w:r>
      <w:r w:rsidR="00D7466F">
        <w:t>La majorité des cas de maltraitance se déroulent à domicile, dans le cadre familial.</w:t>
      </w:r>
    </w:p>
    <w:p w:rsidR="00216D74" w:rsidRPr="008A5809" w:rsidRDefault="00216D74" w:rsidP="00F85197">
      <w:pPr>
        <w:spacing w:after="20"/>
        <w:jc w:val="both"/>
      </w:pPr>
    </w:p>
    <w:p w:rsidR="00117782" w:rsidRDefault="00117782" w:rsidP="00F85197">
      <w:pPr>
        <w:pStyle w:val="Heading4"/>
        <w:spacing w:before="0" w:after="20"/>
        <w:ind w:left="708"/>
      </w:pPr>
      <w:r w:rsidRPr="00117782">
        <w:lastRenderedPageBreak/>
        <w:t>Formation</w:t>
      </w:r>
    </w:p>
    <w:p w:rsidR="00BE7A5B" w:rsidRPr="00621477" w:rsidRDefault="00BE7A5B" w:rsidP="00F85197">
      <w:pPr>
        <w:spacing w:after="20"/>
        <w:rPr>
          <w:sz w:val="18"/>
          <w:szCs w:val="18"/>
        </w:rPr>
      </w:pPr>
    </w:p>
    <w:p w:rsidR="00E14192" w:rsidRDefault="0052209C" w:rsidP="00F85197">
      <w:pPr>
        <w:spacing w:after="20"/>
        <w:jc w:val="both"/>
      </w:pPr>
      <w:r>
        <w:t xml:space="preserve">La </w:t>
      </w:r>
      <w:r w:rsidR="00E14192">
        <w:t xml:space="preserve">formation </w:t>
      </w:r>
      <w:r>
        <w:t>doit absolument être améliorée pour</w:t>
      </w:r>
      <w:r w:rsidR="008A5809">
        <w:t xml:space="preserve"> </w:t>
      </w:r>
      <w:r>
        <w:t>:</w:t>
      </w:r>
    </w:p>
    <w:p w:rsidR="00E14192" w:rsidRDefault="00E14192" w:rsidP="00027EF9">
      <w:pPr>
        <w:pStyle w:val="ListParagraph"/>
        <w:numPr>
          <w:ilvl w:val="0"/>
          <w:numId w:val="4"/>
        </w:numPr>
        <w:spacing w:after="20"/>
        <w:jc w:val="both"/>
      </w:pPr>
      <w:r>
        <w:t xml:space="preserve">Les </w:t>
      </w:r>
      <w:r w:rsidRPr="00DF6316">
        <w:rPr>
          <w:b/>
        </w:rPr>
        <w:t>magistrats</w:t>
      </w:r>
      <w:r>
        <w:t xml:space="preserve"> </w:t>
      </w:r>
      <w:r w:rsidR="00D75C92">
        <w:t>afin d’</w:t>
      </w:r>
      <w:r>
        <w:t>éviter la délivrance d’autorisat</w:t>
      </w:r>
      <w:r w:rsidR="006538B7">
        <w:t>ion</w:t>
      </w:r>
      <w:r>
        <w:t xml:space="preserve"> de soins sans consentement, la pénalisation croissante des personnes atteintes de troubles psychiques, la mise sous tutelle ou curatelle renforcée de façon quasi systématique et permettre l’aménagement des peines ;</w:t>
      </w:r>
    </w:p>
    <w:p w:rsidR="00E14192" w:rsidRDefault="00E14192" w:rsidP="00027EF9">
      <w:pPr>
        <w:pStyle w:val="ListParagraph"/>
        <w:numPr>
          <w:ilvl w:val="0"/>
          <w:numId w:val="4"/>
        </w:numPr>
        <w:spacing w:after="20"/>
        <w:jc w:val="both"/>
      </w:pPr>
      <w:r>
        <w:t xml:space="preserve">Les </w:t>
      </w:r>
      <w:r w:rsidRPr="00DF6316">
        <w:rPr>
          <w:b/>
        </w:rPr>
        <w:t>personnels pénitentiaires</w:t>
      </w:r>
      <w:r>
        <w:rPr>
          <w:b/>
        </w:rPr>
        <w:t> </w:t>
      </w:r>
      <w:r w:rsidRPr="00BB1B04">
        <w:t>;</w:t>
      </w:r>
    </w:p>
    <w:p w:rsidR="003835EB" w:rsidRDefault="00E14192" w:rsidP="00027EF9">
      <w:pPr>
        <w:pStyle w:val="ListParagraph"/>
        <w:numPr>
          <w:ilvl w:val="0"/>
          <w:numId w:val="4"/>
        </w:numPr>
        <w:spacing w:after="20"/>
        <w:jc w:val="both"/>
      </w:pPr>
      <w:r>
        <w:t xml:space="preserve">Les </w:t>
      </w:r>
      <w:r w:rsidRPr="00DF6316">
        <w:rPr>
          <w:b/>
        </w:rPr>
        <w:t>médecins</w:t>
      </w:r>
      <w:r>
        <w:t xml:space="preserve"> et </w:t>
      </w:r>
      <w:r w:rsidRPr="00DF6316">
        <w:rPr>
          <w:b/>
        </w:rPr>
        <w:t>psychiatres</w:t>
      </w:r>
      <w:r w:rsidR="006538B7">
        <w:t xml:space="preserve"> </w:t>
      </w:r>
      <w:r w:rsidR="00A04CFD">
        <w:t xml:space="preserve">afin qu’ils adoptent une </w:t>
      </w:r>
      <w:r w:rsidR="006538B7">
        <w:t>approche scientifique</w:t>
      </w:r>
      <w:r>
        <w:t xml:space="preserve"> reconnue (notamment dans le domaine de l’autisme), fondée sur les droits</w:t>
      </w:r>
      <w:r w:rsidR="00D75C92">
        <w:t> ;</w:t>
      </w:r>
    </w:p>
    <w:p w:rsidR="00E14192" w:rsidRDefault="003835EB" w:rsidP="00027EF9">
      <w:pPr>
        <w:pStyle w:val="ListParagraph"/>
        <w:numPr>
          <w:ilvl w:val="0"/>
          <w:numId w:val="4"/>
        </w:numPr>
        <w:spacing w:after="20"/>
        <w:jc w:val="both"/>
        <w:rPr>
          <w:b/>
        </w:rPr>
      </w:pPr>
      <w:r>
        <w:t xml:space="preserve">Les </w:t>
      </w:r>
      <w:r w:rsidRPr="00A41F3A">
        <w:rPr>
          <w:b/>
        </w:rPr>
        <w:t xml:space="preserve">personnels d’accompagnement </w:t>
      </w:r>
      <w:r w:rsidRPr="004F6440">
        <w:t>au sein des hébergements collectifs</w:t>
      </w:r>
      <w:r w:rsidRPr="00A41F3A">
        <w:rPr>
          <w:b/>
        </w:rPr>
        <w:t>, les professionnels de l’aide à domicile</w:t>
      </w:r>
      <w:r w:rsidR="00D75C92">
        <w:rPr>
          <w:b/>
        </w:rPr>
        <w:t> </w:t>
      </w:r>
      <w:r w:rsidR="00D75C92" w:rsidRPr="00BB1B04">
        <w:t>;</w:t>
      </w:r>
    </w:p>
    <w:p w:rsidR="00E14192" w:rsidRPr="00621477" w:rsidRDefault="00CA1293" w:rsidP="00027EF9">
      <w:pPr>
        <w:pStyle w:val="ListParagraph"/>
        <w:numPr>
          <w:ilvl w:val="0"/>
          <w:numId w:val="4"/>
        </w:numPr>
        <w:spacing w:after="20"/>
        <w:jc w:val="both"/>
        <w:rPr>
          <w:b/>
        </w:rPr>
      </w:pPr>
      <w:r w:rsidRPr="00A41F3A">
        <w:t>Les</w:t>
      </w:r>
      <w:r>
        <w:rPr>
          <w:b/>
        </w:rPr>
        <w:t xml:space="preserve"> aidants familiaux </w:t>
      </w:r>
      <w:r w:rsidRPr="00A41F3A">
        <w:t>ou les</w:t>
      </w:r>
      <w:r>
        <w:rPr>
          <w:b/>
        </w:rPr>
        <w:t xml:space="preserve"> aidants proches</w:t>
      </w:r>
      <w:r w:rsidR="00621477">
        <w:rPr>
          <w:b/>
        </w:rPr>
        <w:t> </w:t>
      </w:r>
      <w:r w:rsidR="00621477">
        <w:t xml:space="preserve">; </w:t>
      </w:r>
    </w:p>
    <w:p w:rsidR="00621477" w:rsidRPr="00027EF9" w:rsidRDefault="00621477" w:rsidP="00027EF9">
      <w:pPr>
        <w:pStyle w:val="ListParagraph"/>
        <w:numPr>
          <w:ilvl w:val="0"/>
          <w:numId w:val="4"/>
        </w:numPr>
        <w:spacing w:after="20"/>
        <w:jc w:val="both"/>
        <w:rPr>
          <w:b/>
        </w:rPr>
      </w:pPr>
      <w:r>
        <w:t xml:space="preserve">Les </w:t>
      </w:r>
      <w:r w:rsidRPr="00621477">
        <w:rPr>
          <w:b/>
        </w:rPr>
        <w:t>personnes elles-mêmes</w:t>
      </w:r>
      <w:r>
        <w:t xml:space="preserve"> quant à leurs droits</w:t>
      </w:r>
      <w:r w:rsidR="00A11A9D">
        <w:t>.</w:t>
      </w:r>
      <w:r>
        <w:t xml:space="preserve"> </w:t>
      </w:r>
    </w:p>
    <w:p w:rsidR="0052209C" w:rsidRDefault="0052209C" w:rsidP="00F85197">
      <w:pPr>
        <w:spacing w:after="20"/>
        <w:jc w:val="both"/>
      </w:pPr>
      <w:r>
        <w:t>Le</w:t>
      </w:r>
      <w:r w:rsidR="003835EB">
        <w:t xml:space="preserve"> consentement éclairé </w:t>
      </w:r>
      <w:r>
        <w:t>d</w:t>
      </w:r>
      <w:r w:rsidR="003835EB">
        <w:t xml:space="preserve">oit systématiquement </w:t>
      </w:r>
      <w:r>
        <w:t xml:space="preserve">être </w:t>
      </w:r>
      <w:r w:rsidR="003835EB">
        <w:t>recherché afin que chaque personne puisse prendre sa décision elle-même</w:t>
      </w:r>
      <w:r w:rsidR="00A11A9D">
        <w:t>,</w:t>
      </w:r>
      <w:r w:rsidR="003835EB">
        <w:t xml:space="preserve"> </w:t>
      </w:r>
      <w:r w:rsidR="0044312A">
        <w:t>avec un soutien à cette pri</w:t>
      </w:r>
      <w:r w:rsidR="00A11A9D">
        <w:t>se de décision correspondant à sa volonté et ses préférences.</w:t>
      </w:r>
    </w:p>
    <w:p w:rsidR="00027EF9" w:rsidRPr="00621477" w:rsidRDefault="00027EF9" w:rsidP="00F85197">
      <w:pPr>
        <w:spacing w:after="20"/>
        <w:jc w:val="both"/>
        <w:rPr>
          <w:sz w:val="16"/>
          <w:szCs w:val="16"/>
        </w:rPr>
      </w:pPr>
    </w:p>
    <w:tbl>
      <w:tblPr>
        <w:tblStyle w:val="GridTable1Light-Accent1"/>
        <w:tblW w:w="0" w:type="auto"/>
        <w:tblLook w:val="04A0" w:firstRow="1" w:lastRow="0" w:firstColumn="1" w:lastColumn="0" w:noHBand="0" w:noVBand="1"/>
      </w:tblPr>
      <w:tblGrid>
        <w:gridCol w:w="9062"/>
      </w:tblGrid>
      <w:tr w:rsidR="00D0337F" w:rsidTr="00FF4342">
        <w:trPr>
          <w:cnfStyle w:val="100000000000" w:firstRow="1" w:lastRow="0" w:firstColumn="0" w:lastColumn="0" w:oddVBand="0" w:evenVBand="0" w:oddHBand="0" w:evenHBand="0" w:firstRowFirstColumn="0" w:firstRowLastColumn="0" w:lastRowFirstColumn="0" w:lastRowLastColumn="0"/>
          <w:trHeight w:val="6662"/>
        </w:trPr>
        <w:tc>
          <w:tcPr>
            <w:cnfStyle w:val="001000000000" w:firstRow="0" w:lastRow="0" w:firstColumn="1" w:lastColumn="0" w:oddVBand="0" w:evenVBand="0" w:oddHBand="0" w:evenHBand="0" w:firstRowFirstColumn="0" w:firstRowLastColumn="0" w:lastRowFirstColumn="0" w:lastRowLastColumn="0"/>
            <w:tcW w:w="9062" w:type="dxa"/>
            <w:shd w:val="clear" w:color="auto" w:fill="F2F7FC"/>
          </w:tcPr>
          <w:p w:rsidR="00621477" w:rsidRDefault="00D0337F" w:rsidP="00F85197">
            <w:pPr>
              <w:pStyle w:val="Heading7"/>
              <w:spacing w:before="0" w:after="20" w:line="259" w:lineRule="auto"/>
              <w:outlineLvl w:val="6"/>
              <w:rPr>
                <w:rStyle w:val="Emphasis"/>
                <w:i/>
                <w:iCs/>
              </w:rPr>
            </w:pPr>
            <w:bookmarkStart w:id="42" w:name="_Toc20128125"/>
            <w:r w:rsidRPr="00F2623F">
              <w:rPr>
                <w:rStyle w:val="Emphasis"/>
                <w:i/>
                <w:iCs/>
              </w:rPr>
              <w:lastRenderedPageBreak/>
              <w:t>Recommandations</w:t>
            </w:r>
            <w:bookmarkEnd w:id="42"/>
          </w:p>
          <w:p w:rsidR="00D0337F" w:rsidRPr="0089447A" w:rsidRDefault="00D0337F" w:rsidP="00C22EA0">
            <w:r>
              <w:t> </w:t>
            </w:r>
          </w:p>
          <w:p w:rsidR="003835EB" w:rsidRDefault="003835EB" w:rsidP="00621477">
            <w:pPr>
              <w:pStyle w:val="ListParagraph"/>
              <w:widowControl w:val="0"/>
              <w:numPr>
                <w:ilvl w:val="0"/>
                <w:numId w:val="5"/>
              </w:numPr>
              <w:autoSpaceDE w:val="0"/>
              <w:autoSpaceDN w:val="0"/>
              <w:spacing w:after="20"/>
              <w:ind w:left="714" w:right="113" w:hanging="357"/>
              <w:contextualSpacing w:val="0"/>
              <w:jc w:val="both"/>
            </w:pPr>
            <w:r w:rsidRPr="00591F1A">
              <w:t>Promouvoir l’autodétermination des personnes handicapées</w:t>
            </w:r>
            <w:r>
              <w:t>, développer leurs capacités à exprimer leurs droits par elles-mêmes et non par soumission à une personne de substitution.</w:t>
            </w:r>
          </w:p>
          <w:p w:rsidR="00FF4342" w:rsidRDefault="00BD278C" w:rsidP="00621477">
            <w:pPr>
              <w:pStyle w:val="ListParagraph"/>
              <w:widowControl w:val="0"/>
              <w:numPr>
                <w:ilvl w:val="0"/>
                <w:numId w:val="5"/>
              </w:numPr>
              <w:autoSpaceDE w:val="0"/>
              <w:autoSpaceDN w:val="0"/>
              <w:spacing w:after="20"/>
              <w:ind w:left="714" w:right="113" w:hanging="357"/>
              <w:contextualSpacing w:val="0"/>
              <w:jc w:val="both"/>
            </w:pPr>
            <w:r>
              <w:t>D</w:t>
            </w:r>
            <w:r w:rsidR="00762243" w:rsidRPr="00591F1A">
              <w:t xml:space="preserve">évelopper les </w:t>
            </w:r>
            <w:r w:rsidR="0044312A">
              <w:t>soins sans aucune</w:t>
            </w:r>
            <w:r w:rsidR="003835EB">
              <w:t xml:space="preserve"> forme de</w:t>
            </w:r>
            <w:r w:rsidR="002E1CF4">
              <w:t xml:space="preserve"> contrainte</w:t>
            </w:r>
            <w:r w:rsidR="003835EB">
              <w:t>,</w:t>
            </w:r>
            <w:r w:rsidR="002E1CF4">
              <w:t xml:space="preserve"> </w:t>
            </w:r>
            <w:r w:rsidR="00762243" w:rsidRPr="00591F1A">
              <w:t xml:space="preserve">et favoriser une approche fondée sur les droits pour </w:t>
            </w:r>
            <w:r w:rsidR="003835EB">
              <w:t>prodigu</w:t>
            </w:r>
            <w:r w:rsidR="00762243" w:rsidRPr="00591F1A">
              <w:t xml:space="preserve">er </w:t>
            </w:r>
            <w:r w:rsidR="003835EB">
              <w:t xml:space="preserve">à </w:t>
            </w:r>
            <w:r w:rsidR="00762243" w:rsidRPr="00591F1A">
              <w:t xml:space="preserve">la personne </w:t>
            </w:r>
            <w:r w:rsidR="00F504BB">
              <w:t>les soins dont elle a besoin.</w:t>
            </w:r>
          </w:p>
          <w:p w:rsidR="00FF4342" w:rsidRDefault="00FF4342" w:rsidP="00621477">
            <w:pPr>
              <w:pStyle w:val="ListParagraph"/>
              <w:widowControl w:val="0"/>
              <w:numPr>
                <w:ilvl w:val="0"/>
                <w:numId w:val="5"/>
              </w:numPr>
              <w:autoSpaceDE w:val="0"/>
              <w:autoSpaceDN w:val="0"/>
              <w:spacing w:after="20"/>
              <w:ind w:left="714" w:right="113" w:hanging="357"/>
              <w:contextualSpacing w:val="0"/>
              <w:jc w:val="both"/>
            </w:pPr>
            <w:r w:rsidRPr="00FF4342">
              <w:t xml:space="preserve">Rendre obligatoire dans les services de psychiatrie </w:t>
            </w:r>
            <w:r w:rsidR="00A04CFD">
              <w:t>les</w:t>
            </w:r>
            <w:r w:rsidRPr="00FF4342">
              <w:t xml:space="preserve"> réunion</w:t>
            </w:r>
            <w:r w:rsidR="00A04CFD">
              <w:t>s</w:t>
            </w:r>
            <w:r w:rsidRPr="00FF4342">
              <w:t xml:space="preserve"> de concertation pluridisciplinaire pour la mise en place du traitement le plus approprié</w:t>
            </w:r>
            <w:r w:rsidR="005646E8">
              <w:t>.</w:t>
            </w:r>
          </w:p>
          <w:p w:rsidR="00FF4342" w:rsidRPr="00FF4342" w:rsidRDefault="00FF4342" w:rsidP="00621477">
            <w:pPr>
              <w:pStyle w:val="ListParagraph"/>
              <w:widowControl w:val="0"/>
              <w:numPr>
                <w:ilvl w:val="0"/>
                <w:numId w:val="5"/>
              </w:numPr>
              <w:autoSpaceDE w:val="0"/>
              <w:autoSpaceDN w:val="0"/>
              <w:spacing w:after="20"/>
              <w:ind w:left="714" w:right="113" w:hanging="357"/>
              <w:contextualSpacing w:val="0"/>
              <w:jc w:val="both"/>
            </w:pPr>
            <w:r w:rsidRPr="00FF4342">
              <w:t>Assurer un contrôle effectif des décisions d'isolement et contention dans les établissements</w:t>
            </w:r>
            <w:r w:rsidR="005646E8">
              <w:t>.</w:t>
            </w:r>
          </w:p>
          <w:p w:rsidR="00CA1293" w:rsidRDefault="00A04CFD" w:rsidP="00621477">
            <w:pPr>
              <w:pStyle w:val="ListParagraph"/>
              <w:widowControl w:val="0"/>
              <w:numPr>
                <w:ilvl w:val="0"/>
                <w:numId w:val="5"/>
              </w:numPr>
              <w:autoSpaceDE w:val="0"/>
              <w:autoSpaceDN w:val="0"/>
              <w:spacing w:after="20"/>
              <w:ind w:left="714" w:right="113" w:hanging="357"/>
              <w:contextualSpacing w:val="0"/>
              <w:jc w:val="both"/>
            </w:pPr>
            <w:r>
              <w:t>Proposer une</w:t>
            </w:r>
            <w:r w:rsidR="00CA1293">
              <w:t xml:space="preserve"> formation au</w:t>
            </w:r>
            <w:r w:rsidR="0044312A">
              <w:t>x droits des personnes</w:t>
            </w:r>
            <w:r w:rsidR="00CA1293">
              <w:t xml:space="preserve"> handicap</w:t>
            </w:r>
            <w:r w:rsidR="0044312A">
              <w:t>ées</w:t>
            </w:r>
            <w:r w:rsidR="00CA1293">
              <w:t xml:space="preserve"> aux</w:t>
            </w:r>
            <w:r w:rsidR="00762243" w:rsidRPr="00591F1A">
              <w:t xml:space="preserve"> magistrats, travailleurs sociaux</w:t>
            </w:r>
            <w:r w:rsidR="00CA1293">
              <w:t xml:space="preserve">, </w:t>
            </w:r>
            <w:r w:rsidR="00762243" w:rsidRPr="00591F1A">
              <w:t xml:space="preserve">personnels </w:t>
            </w:r>
            <w:r w:rsidR="00CA1293">
              <w:t xml:space="preserve">pénitentiaires, médecins, psychiatres, personnels d’accompagnement et également aux aidants. </w:t>
            </w:r>
          </w:p>
          <w:p w:rsidR="00762243" w:rsidRPr="00591F1A" w:rsidRDefault="00762243" w:rsidP="00621477">
            <w:pPr>
              <w:pStyle w:val="ListParagraph"/>
              <w:widowControl w:val="0"/>
              <w:numPr>
                <w:ilvl w:val="0"/>
                <w:numId w:val="5"/>
              </w:numPr>
              <w:autoSpaceDE w:val="0"/>
              <w:autoSpaceDN w:val="0"/>
              <w:spacing w:after="20"/>
              <w:ind w:left="714" w:right="113" w:hanging="357"/>
              <w:contextualSpacing w:val="0"/>
              <w:jc w:val="both"/>
            </w:pPr>
            <w:r w:rsidRPr="00591F1A">
              <w:t>Augmenter l’offre de soins dans les établissements pénitentia</w:t>
            </w:r>
            <w:r w:rsidR="0044312A">
              <w:t>ires et améliorer le</w:t>
            </w:r>
            <w:r w:rsidRPr="00591F1A">
              <w:t>s conditions de détention</w:t>
            </w:r>
            <w:r w:rsidR="00BD278C">
              <w:t>.</w:t>
            </w:r>
          </w:p>
          <w:p w:rsidR="00762243" w:rsidRPr="00591F1A" w:rsidRDefault="00C22EA0" w:rsidP="00621477">
            <w:pPr>
              <w:pStyle w:val="ListParagraph"/>
              <w:widowControl w:val="0"/>
              <w:numPr>
                <w:ilvl w:val="0"/>
                <w:numId w:val="5"/>
              </w:numPr>
              <w:autoSpaceDE w:val="0"/>
              <w:autoSpaceDN w:val="0"/>
              <w:spacing w:after="20"/>
              <w:ind w:left="714" w:right="113" w:hanging="357"/>
              <w:contextualSpacing w:val="0"/>
              <w:jc w:val="both"/>
            </w:pPr>
            <w:r>
              <w:t>Interdire et empêcher</w:t>
            </w:r>
            <w:r w:rsidR="004F6440">
              <w:t xml:space="preserve"> l’utilisation de</w:t>
            </w:r>
            <w:r w:rsidR="00BD278C">
              <w:t xml:space="preserve"> pratiques </w:t>
            </w:r>
            <w:r w:rsidR="0044312A">
              <w:t xml:space="preserve">dangereuses et </w:t>
            </w:r>
            <w:r w:rsidR="00BD278C">
              <w:t>dé</w:t>
            </w:r>
            <w:r>
              <w:t>gradantes.</w:t>
            </w:r>
          </w:p>
          <w:p w:rsidR="00762243" w:rsidRPr="00762243" w:rsidRDefault="00A04CFD" w:rsidP="00621477">
            <w:pPr>
              <w:pStyle w:val="ListParagraph"/>
              <w:widowControl w:val="0"/>
              <w:numPr>
                <w:ilvl w:val="0"/>
                <w:numId w:val="5"/>
              </w:numPr>
              <w:autoSpaceDE w:val="0"/>
              <w:autoSpaceDN w:val="0"/>
              <w:spacing w:after="20"/>
              <w:ind w:left="714" w:right="113" w:hanging="357"/>
              <w:contextualSpacing w:val="0"/>
              <w:jc w:val="both"/>
            </w:pPr>
            <w:r>
              <w:t xml:space="preserve">Respecter voire imposer les approches scientifiques reconnues </w:t>
            </w:r>
            <w:r w:rsidR="00762243" w:rsidRPr="00591F1A">
              <w:t>dans le domaine de l’autisme</w:t>
            </w:r>
            <w:r w:rsidR="00BD278C">
              <w:t>.</w:t>
            </w:r>
          </w:p>
          <w:p w:rsidR="00762243" w:rsidRPr="00591F1A" w:rsidRDefault="00BD278C" w:rsidP="00621477">
            <w:pPr>
              <w:pStyle w:val="ListParagraph"/>
              <w:widowControl w:val="0"/>
              <w:numPr>
                <w:ilvl w:val="0"/>
                <w:numId w:val="5"/>
              </w:numPr>
              <w:autoSpaceDE w:val="0"/>
              <w:autoSpaceDN w:val="0"/>
              <w:spacing w:after="20"/>
              <w:ind w:left="714" w:right="113" w:hanging="357"/>
              <w:contextualSpacing w:val="0"/>
              <w:jc w:val="both"/>
            </w:pPr>
            <w:r>
              <w:t>Prévenir</w:t>
            </w:r>
            <w:r w:rsidR="00762243" w:rsidRPr="00591F1A">
              <w:t xml:space="preserve"> la vi</w:t>
            </w:r>
            <w:r w:rsidR="007219DF">
              <w:t>olence et la maltraitance dans l</w:t>
            </w:r>
            <w:r w:rsidR="00762243" w:rsidRPr="00591F1A">
              <w:t>es</w:t>
            </w:r>
            <w:r w:rsidR="00654B03">
              <w:t xml:space="preserve"> ESMS</w:t>
            </w:r>
            <w:r w:rsidR="00762243" w:rsidRPr="00591F1A">
              <w:t xml:space="preserve"> </w:t>
            </w:r>
            <w:r>
              <w:t>(</w:t>
            </w:r>
            <w:r w:rsidR="00762243" w:rsidRPr="00591F1A">
              <w:t xml:space="preserve">augmenter </w:t>
            </w:r>
            <w:r>
              <w:t>les</w:t>
            </w:r>
            <w:r w:rsidR="00762243" w:rsidRPr="00591F1A">
              <w:t xml:space="preserve"> contrôles</w:t>
            </w:r>
            <w:r w:rsidR="007219DF">
              <w:t xml:space="preserve"> et les</w:t>
            </w:r>
            <w:r w:rsidR="00762243" w:rsidRPr="00591F1A">
              <w:t xml:space="preserve"> évaluations externes</w:t>
            </w:r>
            <w:r>
              <w:t>)</w:t>
            </w:r>
            <w:r w:rsidR="00762243" w:rsidRPr="00591F1A">
              <w:t>.</w:t>
            </w:r>
          </w:p>
          <w:p w:rsidR="00D0636B" w:rsidRDefault="00762243" w:rsidP="00621477">
            <w:pPr>
              <w:pStyle w:val="ListParagraph"/>
              <w:widowControl w:val="0"/>
              <w:numPr>
                <w:ilvl w:val="0"/>
                <w:numId w:val="5"/>
              </w:numPr>
              <w:autoSpaceDE w:val="0"/>
              <w:autoSpaceDN w:val="0"/>
              <w:spacing w:after="20"/>
              <w:ind w:left="714" w:right="113" w:hanging="357"/>
              <w:contextualSpacing w:val="0"/>
              <w:jc w:val="both"/>
            </w:pPr>
            <w:r w:rsidRPr="00591F1A">
              <w:t>Garantir</w:t>
            </w:r>
            <w:r w:rsidR="004F6440">
              <w:t>, organiser et faciliter le</w:t>
            </w:r>
            <w:r w:rsidRPr="00591F1A">
              <w:t xml:space="preserve"> traitement des plaintes pour actes de violence</w:t>
            </w:r>
            <w:r w:rsidR="00BD278C">
              <w:t>.</w:t>
            </w:r>
          </w:p>
          <w:p w:rsidR="00621477" w:rsidRPr="00027EF9" w:rsidRDefault="00621477" w:rsidP="00621477">
            <w:pPr>
              <w:pStyle w:val="ListParagraph"/>
              <w:widowControl w:val="0"/>
              <w:autoSpaceDE w:val="0"/>
              <w:autoSpaceDN w:val="0"/>
              <w:spacing w:after="20"/>
              <w:ind w:left="714" w:right="113"/>
              <w:contextualSpacing w:val="0"/>
              <w:jc w:val="both"/>
            </w:pPr>
          </w:p>
        </w:tc>
      </w:tr>
    </w:tbl>
    <w:p w:rsidR="00D0636B" w:rsidRDefault="00D0636B">
      <w:pPr>
        <w:spacing w:after="160"/>
        <w:rPr>
          <w:rFonts w:asciiTheme="majorHAnsi" w:eastAsiaTheme="majorEastAsia" w:hAnsiTheme="majorHAnsi" w:cstheme="majorBidi"/>
          <w:b/>
          <w:i/>
          <w:color w:val="2F5496" w:themeColor="accent5" w:themeShade="BF"/>
          <w:sz w:val="26"/>
          <w:lang w:eastAsia="en-GB"/>
        </w:rPr>
      </w:pPr>
      <w:bookmarkStart w:id="43" w:name="_Toc21445726"/>
    </w:p>
    <w:p w:rsidR="00F613DF" w:rsidRDefault="00F613DF">
      <w:pPr>
        <w:spacing w:after="160"/>
        <w:rPr>
          <w:rFonts w:asciiTheme="majorHAnsi" w:eastAsiaTheme="majorEastAsia" w:hAnsiTheme="majorHAnsi" w:cstheme="majorBidi"/>
          <w:b/>
          <w:i/>
          <w:color w:val="2F5496" w:themeColor="accent5" w:themeShade="BF"/>
          <w:sz w:val="26"/>
          <w:lang w:eastAsia="en-GB"/>
        </w:rPr>
      </w:pPr>
      <w:r>
        <w:br w:type="page"/>
      </w:r>
    </w:p>
    <w:p w:rsidR="004279B5" w:rsidRDefault="004279B5" w:rsidP="007227BF">
      <w:pPr>
        <w:pStyle w:val="Heading3"/>
      </w:pPr>
      <w:bookmarkStart w:id="44" w:name="_Toc29546069"/>
      <w:r>
        <w:lastRenderedPageBreak/>
        <w:t>Article 18 – Droit de circuler librement et nationalité</w:t>
      </w:r>
      <w:bookmarkEnd w:id="43"/>
      <w:bookmarkEnd w:id="44"/>
      <w:r>
        <w:t xml:space="preserve"> </w:t>
      </w:r>
    </w:p>
    <w:p w:rsidR="004279B5" w:rsidRPr="00F04703" w:rsidRDefault="004279B5" w:rsidP="00F85197">
      <w:pPr>
        <w:spacing w:after="20"/>
        <w:jc w:val="both"/>
        <w:rPr>
          <w:sz w:val="18"/>
          <w:szCs w:val="18"/>
        </w:rPr>
      </w:pPr>
    </w:p>
    <w:p w:rsidR="004279B5" w:rsidRDefault="004279B5" w:rsidP="0035545A">
      <w:pPr>
        <w:pStyle w:val="Heading4"/>
        <w:spacing w:before="0" w:after="20"/>
        <w:ind w:firstLine="708"/>
        <w:rPr>
          <w:b w:val="0"/>
        </w:rPr>
      </w:pPr>
      <w:r w:rsidRPr="00AE53C2">
        <w:t xml:space="preserve">Mobilité </w:t>
      </w:r>
      <w:r>
        <w:t>en</w:t>
      </w:r>
      <w:r w:rsidRPr="00AE53C2">
        <w:t xml:space="preserve"> France et en Europe </w:t>
      </w:r>
    </w:p>
    <w:p w:rsidR="004279B5" w:rsidRPr="003E09C8" w:rsidRDefault="004279B5" w:rsidP="00F85197">
      <w:pPr>
        <w:spacing w:after="20"/>
        <w:rPr>
          <w:sz w:val="18"/>
          <w:szCs w:val="18"/>
        </w:rPr>
      </w:pPr>
    </w:p>
    <w:p w:rsidR="004279B5" w:rsidRDefault="004279B5" w:rsidP="00F85197">
      <w:pPr>
        <w:spacing w:after="20"/>
        <w:jc w:val="both"/>
      </w:pPr>
      <w:r>
        <w:t xml:space="preserve">Comme il a été vu à </w:t>
      </w:r>
      <w:r w:rsidRPr="00F04703">
        <w:t>l’examen de l’article 5,</w:t>
      </w:r>
      <w:r>
        <w:t xml:space="preserve"> il existe en France une </w:t>
      </w:r>
      <w:r w:rsidRPr="00C0752F">
        <w:rPr>
          <w:b/>
        </w:rPr>
        <w:t>rupture d’égalité entre les territoires</w:t>
      </w:r>
      <w:r w:rsidR="002A7D41">
        <w:t xml:space="preserve">, </w:t>
      </w:r>
      <w:r>
        <w:t>notamment les différenciations faites d’une MDPH à l’autre, o</w:t>
      </w:r>
      <w:r w:rsidR="00C22EA0">
        <w:t xml:space="preserve">u </w:t>
      </w:r>
      <w:r w:rsidR="00A11A9D">
        <w:t>dans les zones rurales.</w:t>
      </w:r>
      <w:r>
        <w:t xml:space="preserve"> </w:t>
      </w:r>
    </w:p>
    <w:p w:rsidR="004279B5" w:rsidRPr="003E09C8" w:rsidRDefault="004279B5" w:rsidP="00F85197">
      <w:pPr>
        <w:spacing w:after="20"/>
        <w:jc w:val="both"/>
        <w:rPr>
          <w:sz w:val="18"/>
          <w:szCs w:val="18"/>
        </w:rPr>
      </w:pPr>
    </w:p>
    <w:p w:rsidR="004279B5" w:rsidRDefault="00687547" w:rsidP="00F85197">
      <w:pPr>
        <w:spacing w:after="20"/>
        <w:jc w:val="both"/>
      </w:pPr>
      <w:r>
        <w:t xml:space="preserve">Ensuite, il existe une rupture d’égalité entre les citoyens </w:t>
      </w:r>
      <w:r w:rsidR="001550BB">
        <w:t>français</w:t>
      </w:r>
      <w:r>
        <w:t xml:space="preserve"> qui bénéficient de l’ancienne cart</w:t>
      </w:r>
      <w:r w:rsidR="004279B5">
        <w:t>e de priorité, d’invalidité et de stationnement handicap</w:t>
      </w:r>
      <w:r>
        <w:t>, qui</w:t>
      </w:r>
      <w:r w:rsidR="004279B5">
        <w:t xml:space="preserve"> a été remplacée au 1</w:t>
      </w:r>
      <w:r w:rsidR="004279B5" w:rsidRPr="006264D6">
        <w:rPr>
          <w:vertAlign w:val="superscript"/>
        </w:rPr>
        <w:t>er</w:t>
      </w:r>
      <w:r w:rsidR="004279B5">
        <w:t xml:space="preserve"> janvier 2017 par la </w:t>
      </w:r>
      <w:r w:rsidR="004279B5" w:rsidRPr="00094A66">
        <w:rPr>
          <w:b/>
        </w:rPr>
        <w:t>carte mobilité inclusion</w:t>
      </w:r>
      <w:r>
        <w:rPr>
          <w:b/>
        </w:rPr>
        <w:t xml:space="preserve"> (CMI)</w:t>
      </w:r>
      <w:r w:rsidRPr="00216D74">
        <w:t xml:space="preserve">, </w:t>
      </w:r>
      <w:r w:rsidRPr="00687547">
        <w:t>et ceux qui ont</w:t>
      </w:r>
      <w:r w:rsidR="00A11A9D">
        <w:t xml:space="preserve"> déjà</w:t>
      </w:r>
      <w:r w:rsidRPr="00687547">
        <w:t xml:space="preserve"> une CMI</w:t>
      </w:r>
      <w:r w:rsidR="004279B5">
        <w:t>.</w:t>
      </w:r>
      <w:r>
        <w:t xml:space="preserve"> En effet, l’ancienne carte était reconnue par l’Union </w:t>
      </w:r>
      <w:r w:rsidR="00C22EA0">
        <w:t>e</w:t>
      </w:r>
      <w:r>
        <w:t xml:space="preserve">uropéenne (UE) et permettait de stationner gratuitement dans tous les Etats membres. Cependant, l’Etat français n’a pas demandé la reconnaissance de la CMI à l’UE lors de sa création, si bien que </w:t>
      </w:r>
      <w:r w:rsidR="001550BB">
        <w:t>les</w:t>
      </w:r>
      <w:r>
        <w:t xml:space="preserve"> personnes souhaitant se déplacer dans l’UE se retrouvent dans une situation d’insécurité juridique, ne sachant pas si la </w:t>
      </w:r>
      <w:r w:rsidR="001550BB">
        <w:t>CMI</w:t>
      </w:r>
      <w:r>
        <w:t xml:space="preserve"> pourra être reconnue. </w:t>
      </w:r>
    </w:p>
    <w:p w:rsidR="00C22EA0" w:rsidRPr="003E09C8" w:rsidRDefault="00C22EA0" w:rsidP="00F85197">
      <w:pPr>
        <w:spacing w:after="20"/>
        <w:jc w:val="both"/>
        <w:rPr>
          <w:sz w:val="18"/>
          <w:szCs w:val="18"/>
        </w:rPr>
      </w:pPr>
    </w:p>
    <w:p w:rsidR="00C22EA0" w:rsidRPr="00EA1840" w:rsidRDefault="00C22EA0" w:rsidP="00C22EA0">
      <w:pPr>
        <w:spacing w:after="20"/>
        <w:jc w:val="both"/>
      </w:pPr>
      <w:r>
        <w:t xml:space="preserve">Par ailleurs, la situation des </w:t>
      </w:r>
      <w:r w:rsidRPr="00EA1840">
        <w:rPr>
          <w:b/>
        </w:rPr>
        <w:t>gens du voyage</w:t>
      </w:r>
      <w:r w:rsidRPr="00EA352D">
        <w:rPr>
          <w:b/>
        </w:rPr>
        <w:t xml:space="preserve"> </w:t>
      </w:r>
      <w:r>
        <w:t xml:space="preserve">– </w:t>
      </w:r>
      <w:r w:rsidRPr="00015ACA">
        <w:t>don</w:t>
      </w:r>
      <w:r>
        <w:t xml:space="preserve">t certains </w:t>
      </w:r>
      <w:r w:rsidRPr="00015ACA">
        <w:t>de nationalité française</w:t>
      </w:r>
      <w:r>
        <w:t xml:space="preserve"> – n’est que très peu connue, entraînant un risque d’absence totale de visibilité des personnes </w:t>
      </w:r>
      <w:r w:rsidRPr="00F04703">
        <w:t>en situation de handicap.</w:t>
      </w:r>
    </w:p>
    <w:p w:rsidR="004279B5" w:rsidRPr="003E09C8" w:rsidRDefault="004279B5" w:rsidP="00F85197">
      <w:pPr>
        <w:spacing w:after="20"/>
        <w:jc w:val="both"/>
        <w:rPr>
          <w:sz w:val="18"/>
          <w:szCs w:val="18"/>
        </w:rPr>
      </w:pPr>
    </w:p>
    <w:p w:rsidR="004279B5" w:rsidRDefault="004279B5" w:rsidP="0035545A">
      <w:pPr>
        <w:pStyle w:val="Heading4"/>
        <w:spacing w:before="0" w:after="20"/>
        <w:ind w:firstLine="708"/>
        <w:rPr>
          <w:b w:val="0"/>
        </w:rPr>
      </w:pPr>
      <w:r>
        <w:t>Arrivée</w:t>
      </w:r>
      <w:r w:rsidRPr="00EA352D">
        <w:t xml:space="preserve"> </w:t>
      </w:r>
      <w:r w:rsidR="00687547">
        <w:t xml:space="preserve">d’une personne étrangère en situation de handicap </w:t>
      </w:r>
      <w:r w:rsidRPr="00EA352D">
        <w:t xml:space="preserve">en </w:t>
      </w:r>
      <w:r>
        <w:t>France</w:t>
      </w:r>
    </w:p>
    <w:p w:rsidR="004279B5" w:rsidRPr="003E09C8" w:rsidRDefault="004279B5" w:rsidP="00F85197">
      <w:pPr>
        <w:spacing w:after="20"/>
        <w:rPr>
          <w:sz w:val="18"/>
          <w:szCs w:val="18"/>
        </w:rPr>
      </w:pPr>
    </w:p>
    <w:p w:rsidR="004279B5" w:rsidRPr="00FA79A5" w:rsidRDefault="004279B5" w:rsidP="00F85197">
      <w:pPr>
        <w:spacing w:after="20"/>
        <w:jc w:val="both"/>
      </w:pPr>
      <w:r>
        <w:t xml:space="preserve">Si en principe, pour un </w:t>
      </w:r>
      <w:r w:rsidRPr="00C0752F">
        <w:rPr>
          <w:b/>
        </w:rPr>
        <w:t>résident de l’UE,</w:t>
      </w:r>
      <w:r>
        <w:t xml:space="preserve"> il est possible de franchir librement les frontières, certains droits peuvent ne pas être les mêmes d’un pays à l’autre. </w:t>
      </w:r>
    </w:p>
    <w:p w:rsidR="004279B5" w:rsidRDefault="004279B5" w:rsidP="00F85197">
      <w:pPr>
        <w:spacing w:after="20"/>
        <w:jc w:val="both"/>
      </w:pPr>
      <w:r>
        <w:t xml:space="preserve">Concernant les </w:t>
      </w:r>
      <w:r w:rsidR="00FA79A5">
        <w:rPr>
          <w:b/>
        </w:rPr>
        <w:t>personnes hors-</w:t>
      </w:r>
      <w:r w:rsidR="00C22EA0" w:rsidRPr="00C0752F">
        <w:rPr>
          <w:b/>
        </w:rPr>
        <w:t>UE</w:t>
      </w:r>
      <w:r w:rsidRPr="00FA79A5">
        <w:rPr>
          <w:b/>
        </w:rPr>
        <w:t>,</w:t>
      </w:r>
      <w:r>
        <w:t xml:space="preserve"> et en période de </w:t>
      </w:r>
      <w:r w:rsidRPr="00C0752F">
        <w:rPr>
          <w:b/>
        </w:rPr>
        <w:t>crise</w:t>
      </w:r>
      <w:r w:rsidR="007219DF">
        <w:rPr>
          <w:b/>
        </w:rPr>
        <w:t xml:space="preserve"> dite « </w:t>
      </w:r>
      <w:r w:rsidRPr="00C0752F">
        <w:rPr>
          <w:b/>
        </w:rPr>
        <w:t>migratoire »,</w:t>
      </w:r>
      <w:r>
        <w:t xml:space="preserve"> une attention particulière devrait être portée à l’accueil des migrants en situation de handicap, demandeurs d’asile, qui sont souvent dans une situation d’extrême vulnérabilité. </w:t>
      </w:r>
    </w:p>
    <w:p w:rsidR="004279B5" w:rsidRDefault="004279B5" w:rsidP="00F85197">
      <w:pPr>
        <w:spacing w:after="20"/>
        <w:jc w:val="both"/>
      </w:pPr>
      <w:r>
        <w:lastRenderedPageBreak/>
        <w:t xml:space="preserve">Pour d’autres, l’obtention d’une </w:t>
      </w:r>
      <w:r w:rsidRPr="00A11A9D">
        <w:rPr>
          <w:b/>
        </w:rPr>
        <w:t>carte de séjour</w:t>
      </w:r>
      <w:r>
        <w:t xml:space="preserve"> ou la </w:t>
      </w:r>
      <w:r w:rsidRPr="00A11A9D">
        <w:rPr>
          <w:b/>
        </w:rPr>
        <w:t>naturalisation</w:t>
      </w:r>
      <w:r>
        <w:t xml:space="preserve"> sont des étapes éminemment complexes, dont les procédures ne sont pas toujours accessibles (revenus réputés insuffisants, test de langue française, procédures informatisées). </w:t>
      </w:r>
    </w:p>
    <w:p w:rsidR="004279B5" w:rsidRPr="003E09C8" w:rsidRDefault="004279B5" w:rsidP="00C22EA0"/>
    <w:p w:rsidR="004279B5" w:rsidRDefault="004279B5" w:rsidP="0035545A">
      <w:pPr>
        <w:pStyle w:val="Heading4"/>
        <w:spacing w:before="0" w:after="20"/>
        <w:ind w:firstLine="708"/>
        <w:rPr>
          <w:b w:val="0"/>
        </w:rPr>
      </w:pPr>
      <w:r>
        <w:t>Expatriation</w:t>
      </w:r>
      <w:r w:rsidR="00687547">
        <w:t xml:space="preserve"> d’une personne française en situation de handicap </w:t>
      </w:r>
    </w:p>
    <w:p w:rsidR="004279B5" w:rsidRPr="003E09C8" w:rsidRDefault="004279B5" w:rsidP="00F85197">
      <w:pPr>
        <w:spacing w:after="20"/>
        <w:rPr>
          <w:sz w:val="18"/>
          <w:szCs w:val="18"/>
        </w:rPr>
      </w:pPr>
    </w:p>
    <w:p w:rsidR="004279B5" w:rsidRDefault="004279B5" w:rsidP="00F85197">
      <w:pPr>
        <w:spacing w:after="20"/>
        <w:jc w:val="both"/>
      </w:pPr>
      <w:r>
        <w:t xml:space="preserve">Le versement des diverses </w:t>
      </w:r>
      <w:r w:rsidRPr="00C0752F">
        <w:rPr>
          <w:b/>
        </w:rPr>
        <w:t>prestations</w:t>
      </w:r>
      <w:r>
        <w:rPr>
          <w:b/>
        </w:rPr>
        <w:t xml:space="preserve"> sociales</w:t>
      </w:r>
      <w:r>
        <w:t xml:space="preserve"> est suspendu, sauf lors de conditions particulières (études,</w:t>
      </w:r>
      <w:r w:rsidRPr="00CA156F">
        <w:t xml:space="preserve"> </w:t>
      </w:r>
      <w:r>
        <w:t xml:space="preserve">formation professionnelle ou apprentissage d’une langue étrangère) et la continuité des </w:t>
      </w:r>
      <w:r w:rsidRPr="00C0752F">
        <w:rPr>
          <w:b/>
        </w:rPr>
        <w:t>soins</w:t>
      </w:r>
      <w:r>
        <w:t xml:space="preserve"> peut être onéreuse car la </w:t>
      </w:r>
      <w:r w:rsidRPr="009C6451">
        <w:rPr>
          <w:b/>
        </w:rPr>
        <w:t>couverture sociale</w:t>
      </w:r>
      <w:r>
        <w:t xml:space="preserve"> à l’étranger est probablement différente. </w:t>
      </w:r>
    </w:p>
    <w:p w:rsidR="00FA79A5" w:rsidRDefault="004279B5" w:rsidP="00F85197">
      <w:pPr>
        <w:spacing w:after="20"/>
        <w:jc w:val="both"/>
      </w:pPr>
      <w:r>
        <w:t xml:space="preserve">De même, dans le domaine de </w:t>
      </w:r>
      <w:r w:rsidRPr="00C0752F">
        <w:rPr>
          <w:b/>
        </w:rPr>
        <w:t>l’éducation</w:t>
      </w:r>
      <w:r>
        <w:t>, rien ne garantit que les mesures d’accompagnement prévues en France puissent être transposées à l’étranger, même au sein d’un établiss</w:t>
      </w:r>
      <w:r w:rsidR="00C22EA0">
        <w:t xml:space="preserve">ement d’enseignement français. </w:t>
      </w:r>
    </w:p>
    <w:p w:rsidR="00C22EA0" w:rsidRPr="00C22EA0" w:rsidRDefault="00C22EA0" w:rsidP="00F85197">
      <w:pPr>
        <w:spacing w:after="20"/>
        <w:jc w:val="both"/>
        <w:rPr>
          <w:sz w:val="16"/>
          <w:szCs w:val="16"/>
        </w:rPr>
      </w:pPr>
    </w:p>
    <w:tbl>
      <w:tblPr>
        <w:tblStyle w:val="GridTable1Light-Accent1"/>
        <w:tblW w:w="0" w:type="auto"/>
        <w:tblLook w:val="04A0" w:firstRow="1" w:lastRow="0" w:firstColumn="1" w:lastColumn="0" w:noHBand="0" w:noVBand="1"/>
      </w:tblPr>
      <w:tblGrid>
        <w:gridCol w:w="9062"/>
      </w:tblGrid>
      <w:tr w:rsidR="004279B5" w:rsidTr="00C22EA0">
        <w:trPr>
          <w:cnfStyle w:val="100000000000" w:firstRow="1" w:lastRow="0" w:firstColumn="0" w:lastColumn="0" w:oddVBand="0" w:evenVBand="0" w:oddHBand="0" w:evenHBand="0" w:firstRowFirstColumn="0" w:firstRowLastColumn="0" w:lastRowFirstColumn="0" w:lastRowLastColumn="0"/>
          <w:trHeight w:val="2579"/>
        </w:trPr>
        <w:tc>
          <w:tcPr>
            <w:cnfStyle w:val="001000000000" w:firstRow="0" w:lastRow="0" w:firstColumn="1" w:lastColumn="0" w:oddVBand="0" w:evenVBand="0" w:oddHBand="0" w:evenHBand="0" w:firstRowFirstColumn="0" w:firstRowLastColumn="0" w:lastRowFirstColumn="0" w:lastRowLastColumn="0"/>
            <w:tcW w:w="9062" w:type="dxa"/>
            <w:shd w:val="clear" w:color="auto" w:fill="F2F7FC"/>
          </w:tcPr>
          <w:p w:rsidR="0029733C" w:rsidRPr="0029733C" w:rsidRDefault="004279B5" w:rsidP="0029733C">
            <w:pPr>
              <w:pStyle w:val="Heading7"/>
              <w:spacing w:before="0" w:after="20" w:line="259" w:lineRule="auto"/>
              <w:outlineLvl w:val="6"/>
              <w:rPr>
                <w:iCs w:val="0"/>
              </w:rPr>
            </w:pPr>
            <w:r w:rsidRPr="00C22EA0">
              <w:rPr>
                <w:rStyle w:val="Emphasis"/>
                <w:i/>
              </w:rPr>
              <w:t>Recommandations</w:t>
            </w:r>
          </w:p>
          <w:p w:rsidR="004279B5" w:rsidRDefault="004279B5" w:rsidP="00027EF9">
            <w:pPr>
              <w:pStyle w:val="ListParagraph"/>
              <w:widowControl w:val="0"/>
              <w:numPr>
                <w:ilvl w:val="0"/>
                <w:numId w:val="5"/>
              </w:numPr>
              <w:autoSpaceDE w:val="0"/>
              <w:autoSpaceDN w:val="0"/>
              <w:spacing w:after="20" w:line="259" w:lineRule="auto"/>
              <w:ind w:right="113"/>
              <w:contextualSpacing w:val="0"/>
              <w:jc w:val="both"/>
            </w:pPr>
            <w:r>
              <w:t>Faire en sorte que la carte mobilité inc</w:t>
            </w:r>
            <w:r w:rsidR="002A7D41">
              <w:t xml:space="preserve">lusion soit reconnue en Europe </w:t>
            </w:r>
            <w:r>
              <w:t xml:space="preserve">et </w:t>
            </w:r>
            <w:r w:rsidR="004E7115">
              <w:t xml:space="preserve">former les agents à la reconnaissance de cette carte en France pour éviter des verbalisations injustifiées. </w:t>
            </w:r>
          </w:p>
          <w:p w:rsidR="004279B5" w:rsidRDefault="004279B5" w:rsidP="00027EF9">
            <w:pPr>
              <w:pStyle w:val="ListParagraph"/>
              <w:widowControl w:val="0"/>
              <w:numPr>
                <w:ilvl w:val="0"/>
                <w:numId w:val="5"/>
              </w:numPr>
              <w:autoSpaceDE w:val="0"/>
              <w:autoSpaceDN w:val="0"/>
              <w:spacing w:after="20" w:line="259" w:lineRule="auto"/>
              <w:ind w:right="113"/>
              <w:contextualSpacing w:val="0"/>
              <w:jc w:val="both"/>
            </w:pPr>
            <w:r>
              <w:t>Rendre visible les « gens du voyage » et les migrants et leur garantir une égalité de trait</w:t>
            </w:r>
            <w:r w:rsidR="007219DF">
              <w:t>ement quant à l’accès aux soins.</w:t>
            </w:r>
          </w:p>
          <w:p w:rsidR="004279B5" w:rsidRPr="003E09C8" w:rsidRDefault="004279B5" w:rsidP="00027EF9">
            <w:pPr>
              <w:pStyle w:val="ListParagraph"/>
              <w:widowControl w:val="0"/>
              <w:numPr>
                <w:ilvl w:val="0"/>
                <w:numId w:val="5"/>
              </w:numPr>
              <w:autoSpaceDE w:val="0"/>
              <w:autoSpaceDN w:val="0"/>
              <w:spacing w:after="20" w:line="259" w:lineRule="auto"/>
              <w:ind w:right="113"/>
              <w:contextualSpacing w:val="0"/>
              <w:jc w:val="both"/>
            </w:pPr>
            <w:r>
              <w:t xml:space="preserve">Faire en sorte que soit garantie aux citoyens français en situation de handicap la portabilité de leurs droits lors du franchissement d’une frontière.  </w:t>
            </w:r>
          </w:p>
        </w:tc>
      </w:tr>
    </w:tbl>
    <w:p w:rsidR="004279B5" w:rsidRDefault="004279B5" w:rsidP="00F85197">
      <w:pPr>
        <w:spacing w:after="20"/>
        <w:rPr>
          <w:rFonts w:asciiTheme="majorHAnsi" w:eastAsiaTheme="majorEastAsia" w:hAnsiTheme="majorHAnsi" w:cstheme="majorBidi"/>
          <w:b/>
          <w:i/>
          <w:color w:val="2F5496" w:themeColor="accent5" w:themeShade="BF"/>
          <w:sz w:val="26"/>
          <w:lang w:eastAsia="en-GB"/>
        </w:rPr>
      </w:pPr>
      <w:r>
        <w:br w:type="page"/>
      </w:r>
    </w:p>
    <w:p w:rsidR="00E14192" w:rsidRDefault="00E14192" w:rsidP="007227BF">
      <w:pPr>
        <w:pStyle w:val="Heading3"/>
      </w:pPr>
      <w:bookmarkStart w:id="45" w:name="_Toc29546070"/>
      <w:r>
        <w:lastRenderedPageBreak/>
        <w:t xml:space="preserve">Article 19 </w:t>
      </w:r>
      <w:r w:rsidR="00C4409C">
        <w:t>–</w:t>
      </w:r>
      <w:r>
        <w:t xml:space="preserve"> Autonomie de vie et inclusion dans la société</w:t>
      </w:r>
      <w:bookmarkEnd w:id="41"/>
      <w:bookmarkEnd w:id="45"/>
    </w:p>
    <w:p w:rsidR="00B37175" w:rsidRDefault="00B37175" w:rsidP="00F85197">
      <w:pPr>
        <w:spacing w:after="20"/>
        <w:jc w:val="both"/>
        <w:rPr>
          <w:rFonts w:cstheme="minorHAnsi"/>
        </w:rPr>
      </w:pPr>
    </w:p>
    <w:p w:rsidR="003A373D" w:rsidRDefault="003A373D" w:rsidP="003A373D">
      <w:pPr>
        <w:pStyle w:val="Normal1"/>
        <w:spacing w:after="20"/>
        <w:jc w:val="both"/>
      </w:pPr>
      <w:r>
        <w:t xml:space="preserve">Les personnes en situation de handicap sont </w:t>
      </w:r>
      <w:r w:rsidR="00C22EA0">
        <w:t xml:space="preserve">souvent </w:t>
      </w:r>
      <w:r w:rsidR="00A00E84">
        <w:t>restreintes dans leurs choix de lieu et de</w:t>
      </w:r>
      <w:r>
        <w:t xml:space="preserve"> mode de vie, </w:t>
      </w:r>
      <w:r w:rsidR="00C22EA0">
        <w:t>parfois</w:t>
      </w:r>
      <w:r w:rsidR="00A00E84">
        <w:t xml:space="preserve"> même</w:t>
      </w:r>
      <w:r w:rsidR="00C22EA0">
        <w:t xml:space="preserve"> </w:t>
      </w:r>
      <w:r>
        <w:t xml:space="preserve">contraintes à vivre en hébergement collectif, </w:t>
      </w:r>
      <w:r w:rsidR="00A00E84">
        <w:t>pour plusieurs raisons, notamment</w:t>
      </w:r>
      <w:r w:rsidR="00C22EA0">
        <w:t xml:space="preserve"> : </w:t>
      </w:r>
      <w:r>
        <w:t xml:space="preserve"> </w:t>
      </w:r>
    </w:p>
    <w:p w:rsidR="003A373D" w:rsidRDefault="00A04CFD" w:rsidP="00027EF9">
      <w:pPr>
        <w:pStyle w:val="Normal1"/>
        <w:numPr>
          <w:ilvl w:val="0"/>
          <w:numId w:val="16"/>
        </w:numPr>
        <w:pBdr>
          <w:top w:val="nil"/>
          <w:left w:val="nil"/>
          <w:bottom w:val="nil"/>
          <w:right w:val="nil"/>
          <w:between w:val="nil"/>
        </w:pBdr>
        <w:jc w:val="both"/>
        <w:rPr>
          <w:color w:val="000000"/>
        </w:rPr>
      </w:pPr>
      <w:r>
        <w:rPr>
          <w:b/>
          <w:color w:val="000000"/>
        </w:rPr>
        <w:t>L’a</w:t>
      </w:r>
      <w:r w:rsidR="003A373D">
        <w:rPr>
          <w:b/>
          <w:color w:val="000000"/>
        </w:rPr>
        <w:t>llocation aux adultes handicapés (AAH) insuffisantes</w:t>
      </w:r>
      <w:r w:rsidR="003A373D">
        <w:rPr>
          <w:color w:val="000000"/>
        </w:rPr>
        <w:t xml:space="preserve"> pour les personnes reconnues inaptes au travail ou sans emploi</w:t>
      </w:r>
      <w:r>
        <w:rPr>
          <w:color w:val="000000"/>
        </w:rPr>
        <w:t>,</w:t>
      </w:r>
      <w:r w:rsidR="003A373D">
        <w:rPr>
          <w:color w:val="000000"/>
        </w:rPr>
        <w:t xml:space="preserve"> qui maintient leurs revenus à 20% en-dessous du seuil de pauvreté ;</w:t>
      </w:r>
    </w:p>
    <w:p w:rsidR="003A373D" w:rsidRPr="000B589A" w:rsidRDefault="003A373D" w:rsidP="00027EF9">
      <w:pPr>
        <w:pStyle w:val="Normal1"/>
        <w:numPr>
          <w:ilvl w:val="0"/>
          <w:numId w:val="16"/>
        </w:numPr>
        <w:pBdr>
          <w:top w:val="nil"/>
          <w:left w:val="nil"/>
          <w:bottom w:val="nil"/>
          <w:right w:val="nil"/>
          <w:between w:val="nil"/>
        </w:pBdr>
        <w:jc w:val="both"/>
      </w:pPr>
      <w:r w:rsidRPr="00C22EA0">
        <w:rPr>
          <w:b/>
          <w:color w:val="000000"/>
        </w:rPr>
        <w:t>Prestation</w:t>
      </w:r>
      <w:r>
        <w:rPr>
          <w:b/>
          <w:color w:val="000000"/>
        </w:rPr>
        <w:t xml:space="preserve"> de compensation</w:t>
      </w:r>
      <w:r>
        <w:rPr>
          <w:color w:val="000000"/>
        </w:rPr>
        <w:t xml:space="preserve"> </w:t>
      </w:r>
      <w:r w:rsidRPr="003A373D">
        <w:rPr>
          <w:b/>
          <w:color w:val="000000"/>
        </w:rPr>
        <w:t>du handicap (PCH)</w:t>
      </w:r>
      <w:r>
        <w:rPr>
          <w:color w:val="000000"/>
        </w:rPr>
        <w:t xml:space="preserve"> </w:t>
      </w:r>
      <w:r w:rsidRPr="00185240">
        <w:rPr>
          <w:b/>
          <w:color w:val="000000"/>
        </w:rPr>
        <w:t>trop faible</w:t>
      </w:r>
      <w:r>
        <w:rPr>
          <w:color w:val="000000"/>
        </w:rPr>
        <w:t xml:space="preserve"> pour les appareillages, aides techniques et auxiliaires de vie et </w:t>
      </w:r>
      <w:r w:rsidRPr="00185240">
        <w:rPr>
          <w:b/>
          <w:color w:val="000000"/>
        </w:rPr>
        <w:t>trop restrictive</w:t>
      </w:r>
      <w:r>
        <w:rPr>
          <w:color w:val="000000"/>
        </w:rPr>
        <w:t xml:space="preserve"> à l’égard de certaines situations de handicap</w:t>
      </w:r>
      <w:r w:rsidR="00532080">
        <w:rPr>
          <w:color w:val="000000"/>
        </w:rPr>
        <w:t xml:space="preserve"> </w:t>
      </w:r>
      <w:r w:rsidR="00532080" w:rsidRPr="000B589A">
        <w:t xml:space="preserve">(troubles du neuro-développement, troubles psychiques) </w:t>
      </w:r>
      <w:r w:rsidRPr="000B589A">
        <w:t>;</w:t>
      </w:r>
    </w:p>
    <w:p w:rsidR="003A373D" w:rsidRDefault="003A373D" w:rsidP="00027EF9">
      <w:pPr>
        <w:pStyle w:val="Normal1"/>
        <w:numPr>
          <w:ilvl w:val="0"/>
          <w:numId w:val="16"/>
        </w:numPr>
        <w:pBdr>
          <w:top w:val="nil"/>
          <w:left w:val="nil"/>
          <w:bottom w:val="nil"/>
          <w:right w:val="nil"/>
          <w:between w:val="nil"/>
        </w:pBdr>
        <w:jc w:val="both"/>
        <w:rPr>
          <w:color w:val="000000"/>
        </w:rPr>
      </w:pPr>
      <w:r>
        <w:rPr>
          <w:b/>
          <w:color w:val="000000"/>
        </w:rPr>
        <w:t>Barèmes d’attribution</w:t>
      </w:r>
      <w:r>
        <w:rPr>
          <w:color w:val="000000"/>
        </w:rPr>
        <w:t xml:space="preserve"> basés sur des critères médicaux et non sur les besoins de la vie quotidienne dans une société inclusive ;</w:t>
      </w:r>
    </w:p>
    <w:p w:rsidR="003A373D" w:rsidRDefault="003A373D" w:rsidP="00027EF9">
      <w:pPr>
        <w:pStyle w:val="Normal1"/>
        <w:numPr>
          <w:ilvl w:val="0"/>
          <w:numId w:val="16"/>
        </w:numPr>
        <w:pBdr>
          <w:top w:val="nil"/>
          <w:left w:val="nil"/>
          <w:bottom w:val="nil"/>
          <w:right w:val="nil"/>
          <w:between w:val="nil"/>
        </w:pBdr>
        <w:spacing w:after="20"/>
        <w:jc w:val="both"/>
        <w:rPr>
          <w:color w:val="000000"/>
        </w:rPr>
      </w:pPr>
      <w:r>
        <w:rPr>
          <w:color w:val="000000"/>
        </w:rPr>
        <w:t>C</w:t>
      </w:r>
      <w:r w:rsidRPr="00185240">
        <w:t xml:space="preserve">onditions de formation et d’emploi </w:t>
      </w:r>
      <w:r>
        <w:rPr>
          <w:color w:val="000000"/>
        </w:rPr>
        <w:t>des professionnels de</w:t>
      </w:r>
      <w:r>
        <w:rPr>
          <w:b/>
          <w:color w:val="000000"/>
        </w:rPr>
        <w:t xml:space="preserve"> l’assistance personnelle </w:t>
      </w:r>
      <w:r>
        <w:rPr>
          <w:color w:val="000000"/>
        </w:rPr>
        <w:t>et attributions horaires insuffisantes.</w:t>
      </w:r>
    </w:p>
    <w:p w:rsidR="003A373D" w:rsidRDefault="003A373D" w:rsidP="003A373D">
      <w:pPr>
        <w:pStyle w:val="Normal1"/>
        <w:spacing w:after="20"/>
        <w:jc w:val="both"/>
      </w:pPr>
    </w:p>
    <w:p w:rsidR="003A373D" w:rsidRDefault="003A373D" w:rsidP="003A373D">
      <w:pPr>
        <w:pStyle w:val="Normal1"/>
        <w:spacing w:after="20"/>
        <w:jc w:val="both"/>
      </w:pPr>
      <w:r>
        <w:t>Si une volonté de de désinstitutionalisation est parfois exprimée, reste que les autorités ont tendance à renvoyer les personnes à la solidarité de proximité en omettant d’envisager les transformations profondes de leurs modes de fonctionnement et les nouvelles répartitions budgétaires que devrait imposer le principe de solidarité</w:t>
      </w:r>
      <w:r w:rsidR="007F778F">
        <w:rPr>
          <w:rStyle w:val="EndnoteReference"/>
        </w:rPr>
        <w:endnoteReference w:id="42"/>
      </w:r>
      <w:r w:rsidR="00A00E84">
        <w:t>.</w:t>
      </w:r>
      <w:r>
        <w:t xml:space="preserve">  </w:t>
      </w:r>
    </w:p>
    <w:p w:rsidR="003A373D" w:rsidRDefault="003A373D" w:rsidP="003A373D">
      <w:pPr>
        <w:pStyle w:val="Normal1"/>
        <w:spacing w:after="20"/>
        <w:jc w:val="both"/>
        <w:rPr>
          <w:sz w:val="16"/>
          <w:szCs w:val="16"/>
        </w:rPr>
      </w:pPr>
    </w:p>
    <w:p w:rsidR="003A373D" w:rsidRDefault="003A373D" w:rsidP="003A373D">
      <w:pPr>
        <w:pStyle w:val="Normal1"/>
        <w:spacing w:after="20"/>
        <w:jc w:val="both"/>
      </w:pPr>
      <w:r>
        <w:t>L’insuffisance cruciale de lieux d’hébergement où la liberté d’aller et venir est garantie</w:t>
      </w:r>
      <w:r w:rsidR="00A11A9D">
        <w:t>,</w:t>
      </w:r>
      <w:r>
        <w:t xml:space="preserve"> et </w:t>
      </w:r>
      <w:r w:rsidR="00A00E84">
        <w:t xml:space="preserve">est </w:t>
      </w:r>
      <w:r>
        <w:t>sans maltraitance</w:t>
      </w:r>
      <w:r w:rsidR="00A11A9D">
        <w:t>,</w:t>
      </w:r>
      <w:r>
        <w:t xml:space="preserve"> est telle que de nombreuses personnes, notamment des enfants, sont contraintes à vivre sans logement et à rechercher des solutions qui les éloignent de leurs proches et les fragilisent. </w:t>
      </w:r>
    </w:p>
    <w:p w:rsidR="003A373D" w:rsidRDefault="003A373D" w:rsidP="003A373D">
      <w:pPr>
        <w:pStyle w:val="Normal1"/>
        <w:spacing w:after="20"/>
        <w:jc w:val="both"/>
        <w:rPr>
          <w:sz w:val="16"/>
          <w:szCs w:val="16"/>
        </w:rPr>
      </w:pPr>
    </w:p>
    <w:p w:rsidR="00D0636B" w:rsidRPr="003A373D" w:rsidRDefault="003A373D" w:rsidP="003A373D">
      <w:pPr>
        <w:pStyle w:val="Normal1"/>
        <w:spacing w:after="20"/>
        <w:jc w:val="both"/>
      </w:pPr>
      <w:r w:rsidRPr="007537B7">
        <w:rPr>
          <w:sz w:val="24"/>
          <w:szCs w:val="24"/>
        </w:rPr>
        <w:lastRenderedPageBreak/>
        <w:t>C</w:t>
      </w:r>
      <w:r>
        <w:t xml:space="preserve">ertaines organisations gestionnaires de lieux d’hébergement mettent en place des solutions pour une transition inclusive, mais l’engagement de l’Etat et des collectivités locales demeure encore en-deçà des ambitions affichées. </w:t>
      </w:r>
    </w:p>
    <w:p w:rsidR="0007226A" w:rsidRDefault="0007226A" w:rsidP="00F85197">
      <w:pPr>
        <w:spacing w:after="20"/>
        <w:jc w:val="both"/>
        <w:rPr>
          <w:rFonts w:cstheme="minorHAnsi"/>
        </w:rPr>
      </w:pPr>
    </w:p>
    <w:tbl>
      <w:tblPr>
        <w:tblStyle w:val="GridTable1Light-Accent1"/>
        <w:tblW w:w="0" w:type="auto"/>
        <w:tblLook w:val="04A0" w:firstRow="1" w:lastRow="0" w:firstColumn="1" w:lastColumn="0" w:noHBand="0" w:noVBand="1"/>
      </w:tblPr>
      <w:tblGrid>
        <w:gridCol w:w="9062"/>
      </w:tblGrid>
      <w:tr w:rsidR="00E73545" w:rsidTr="00A41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F2F7FC"/>
          </w:tcPr>
          <w:p w:rsidR="00E73545" w:rsidRDefault="00E73545" w:rsidP="00F85197">
            <w:pPr>
              <w:pStyle w:val="Heading7"/>
              <w:spacing w:before="0" w:after="20" w:line="259" w:lineRule="auto"/>
              <w:outlineLvl w:val="6"/>
            </w:pPr>
            <w:bookmarkStart w:id="46" w:name="_Toc18076113"/>
            <w:r w:rsidRPr="00F2623F">
              <w:rPr>
                <w:rStyle w:val="Emphasis"/>
                <w:i/>
                <w:iCs/>
              </w:rPr>
              <w:t>Recommandations</w:t>
            </w:r>
            <w:r>
              <w:t> </w:t>
            </w:r>
          </w:p>
          <w:p w:rsidR="0029733C" w:rsidRPr="0029733C" w:rsidRDefault="0029733C" w:rsidP="0029733C">
            <w:pPr>
              <w:rPr>
                <w:lang w:eastAsia="en-GB"/>
              </w:rPr>
            </w:pPr>
          </w:p>
          <w:p w:rsidR="00E73545" w:rsidRDefault="00E73545" w:rsidP="00027EF9">
            <w:pPr>
              <w:pStyle w:val="ListParagraph"/>
              <w:widowControl w:val="0"/>
              <w:numPr>
                <w:ilvl w:val="0"/>
                <w:numId w:val="5"/>
              </w:numPr>
              <w:autoSpaceDE w:val="0"/>
              <w:autoSpaceDN w:val="0"/>
              <w:spacing w:after="20" w:line="259" w:lineRule="auto"/>
              <w:ind w:right="113"/>
              <w:contextualSpacing w:val="0"/>
              <w:jc w:val="both"/>
            </w:pPr>
            <w:r>
              <w:t>Réaliser un</w:t>
            </w:r>
            <w:r w:rsidRPr="00591F1A">
              <w:t xml:space="preserve"> transfert progressif des </w:t>
            </w:r>
            <w:r w:rsidR="003A373D">
              <w:t xml:space="preserve">moyens dirigés vers les </w:t>
            </w:r>
            <w:r w:rsidRPr="00591F1A">
              <w:t xml:space="preserve">établissements fermés ou isolés vers </w:t>
            </w:r>
            <w:r w:rsidR="003A373D">
              <w:t>la PCH, le domicile et les services de proximité.</w:t>
            </w:r>
          </w:p>
          <w:p w:rsidR="00E73545" w:rsidRPr="00591F1A" w:rsidRDefault="00E73545" w:rsidP="00027EF9">
            <w:pPr>
              <w:pStyle w:val="ListParagraph"/>
              <w:widowControl w:val="0"/>
              <w:numPr>
                <w:ilvl w:val="0"/>
                <w:numId w:val="5"/>
              </w:numPr>
              <w:autoSpaceDE w:val="0"/>
              <w:autoSpaceDN w:val="0"/>
              <w:spacing w:after="20" w:line="259" w:lineRule="auto"/>
              <w:ind w:right="113"/>
              <w:contextualSpacing w:val="0"/>
              <w:jc w:val="both"/>
            </w:pPr>
            <w:r>
              <w:t>M</w:t>
            </w:r>
            <w:r w:rsidRPr="00591F1A">
              <w:t>ultiplier les offres de loge</w:t>
            </w:r>
            <w:r w:rsidR="003A373D">
              <w:t>ments accessibles et adaptables.</w:t>
            </w:r>
          </w:p>
          <w:p w:rsidR="00B37175" w:rsidRDefault="00E73545" w:rsidP="00027EF9">
            <w:pPr>
              <w:pStyle w:val="ListParagraph"/>
              <w:widowControl w:val="0"/>
              <w:numPr>
                <w:ilvl w:val="0"/>
                <w:numId w:val="5"/>
              </w:numPr>
              <w:autoSpaceDE w:val="0"/>
              <w:autoSpaceDN w:val="0"/>
              <w:spacing w:after="20" w:line="259" w:lineRule="auto"/>
              <w:ind w:right="113"/>
              <w:contextualSpacing w:val="0"/>
              <w:jc w:val="both"/>
            </w:pPr>
            <w:r w:rsidRPr="00B37175">
              <w:t>Reconnaître</w:t>
            </w:r>
            <w:r w:rsidR="003A373D">
              <w:t xml:space="preserve"> et valoriser</w:t>
            </w:r>
            <w:r w:rsidRPr="00B37175">
              <w:t xml:space="preserve"> l’expertise des personnes en situatio</w:t>
            </w:r>
            <w:r w:rsidR="00B37175">
              <w:t xml:space="preserve">n de handicap </w:t>
            </w:r>
            <w:r w:rsidR="00A04CFD">
              <w:t xml:space="preserve">concernant leurs besoins propres. </w:t>
            </w:r>
          </w:p>
          <w:p w:rsidR="00B37175" w:rsidRDefault="003A373D" w:rsidP="00027EF9">
            <w:pPr>
              <w:pStyle w:val="ListParagraph"/>
              <w:widowControl w:val="0"/>
              <w:numPr>
                <w:ilvl w:val="0"/>
                <w:numId w:val="5"/>
              </w:numPr>
              <w:autoSpaceDE w:val="0"/>
              <w:autoSpaceDN w:val="0"/>
              <w:spacing w:after="20" w:line="259" w:lineRule="auto"/>
              <w:ind w:right="113"/>
              <w:contextualSpacing w:val="0"/>
              <w:jc w:val="both"/>
            </w:pPr>
            <w:r>
              <w:t>Garantir un</w:t>
            </w:r>
            <w:r w:rsidR="00B37175" w:rsidRPr="00591F1A">
              <w:t xml:space="preserve"> coût abordable pour toutes les aides</w:t>
            </w:r>
            <w:r>
              <w:t xml:space="preserve"> humaines </w:t>
            </w:r>
            <w:r w:rsidR="00B37175">
              <w:t>et</w:t>
            </w:r>
            <w:r w:rsidR="00B37175" w:rsidRPr="00591F1A">
              <w:t xml:space="preserve"> moyens techniques dans tous les domaines de la mobilité</w:t>
            </w:r>
            <w:r>
              <w:t xml:space="preserve"> et du contrôle de l’environnement</w:t>
            </w:r>
            <w:r w:rsidR="00B37175">
              <w:t>,</w:t>
            </w:r>
            <w:r w:rsidR="00B37175" w:rsidRPr="00591F1A">
              <w:t xml:space="preserve"> y compris les transports et la communication.</w:t>
            </w:r>
          </w:p>
          <w:p w:rsidR="003A373D" w:rsidRPr="001479D0" w:rsidRDefault="003A373D" w:rsidP="00027EF9">
            <w:pPr>
              <w:pStyle w:val="Normal1"/>
              <w:widowControl w:val="0"/>
              <w:numPr>
                <w:ilvl w:val="0"/>
                <w:numId w:val="5"/>
              </w:numPr>
              <w:pBdr>
                <w:top w:val="nil"/>
                <w:left w:val="nil"/>
                <w:bottom w:val="nil"/>
                <w:right w:val="nil"/>
                <w:between w:val="nil"/>
              </w:pBdr>
              <w:spacing w:after="20" w:line="259" w:lineRule="auto"/>
              <w:ind w:right="113"/>
              <w:jc w:val="both"/>
            </w:pPr>
            <w:r w:rsidRPr="001479D0">
              <w:rPr>
                <w:color w:val="000000"/>
              </w:rPr>
              <w:t>Soutenir le développement des programmes de soutien par les pairs et de renforcement des capacités individuelles (</w:t>
            </w:r>
            <w:r w:rsidRPr="001479D0">
              <w:rPr>
                <w:i/>
                <w:color w:val="000000"/>
              </w:rPr>
              <w:t>empowerment</w:t>
            </w:r>
            <w:r w:rsidRPr="001479D0">
              <w:rPr>
                <w:color w:val="000000"/>
              </w:rPr>
              <w:t>).</w:t>
            </w:r>
          </w:p>
          <w:p w:rsidR="00E73545" w:rsidRPr="00B37175" w:rsidRDefault="00E73545" w:rsidP="00F85197">
            <w:pPr>
              <w:widowControl w:val="0"/>
              <w:autoSpaceDE w:val="0"/>
              <w:autoSpaceDN w:val="0"/>
              <w:spacing w:after="20"/>
              <w:ind w:right="113"/>
              <w:jc w:val="both"/>
            </w:pPr>
          </w:p>
        </w:tc>
      </w:tr>
    </w:tbl>
    <w:p w:rsidR="003C44B3" w:rsidRDefault="003C44B3" w:rsidP="00F85197">
      <w:pPr>
        <w:spacing w:after="20"/>
        <w:rPr>
          <w:rFonts w:asciiTheme="majorHAnsi" w:eastAsiaTheme="majorEastAsia" w:hAnsiTheme="majorHAnsi" w:cstheme="majorBidi"/>
          <w:b/>
          <w:i/>
          <w:color w:val="2F5496" w:themeColor="accent5" w:themeShade="BF"/>
          <w:sz w:val="26"/>
          <w:lang w:eastAsia="en-GB"/>
        </w:rPr>
      </w:pPr>
    </w:p>
    <w:p w:rsidR="00B37175" w:rsidRDefault="00B37175" w:rsidP="00F85197">
      <w:pPr>
        <w:spacing w:after="20"/>
        <w:rPr>
          <w:rFonts w:asciiTheme="majorHAnsi" w:eastAsiaTheme="majorEastAsia" w:hAnsiTheme="majorHAnsi" w:cstheme="majorBidi"/>
          <w:b/>
          <w:i/>
          <w:color w:val="2F5496" w:themeColor="accent5" w:themeShade="BF"/>
          <w:sz w:val="26"/>
          <w:lang w:eastAsia="en-GB"/>
        </w:rPr>
      </w:pPr>
      <w:r>
        <w:br w:type="page"/>
      </w:r>
    </w:p>
    <w:p w:rsidR="00E14192" w:rsidRPr="007227BF" w:rsidRDefault="00E14192" w:rsidP="007227BF">
      <w:pPr>
        <w:pStyle w:val="Heading3"/>
      </w:pPr>
      <w:bookmarkStart w:id="47" w:name="_Toc29546071"/>
      <w:r w:rsidRPr="007227BF">
        <w:lastRenderedPageBreak/>
        <w:t>Article 21</w:t>
      </w:r>
      <w:r w:rsidR="00C4409C" w:rsidRPr="007227BF">
        <w:t xml:space="preserve"> –</w:t>
      </w:r>
      <w:r w:rsidRPr="007227BF">
        <w:t xml:space="preserve"> Liberté d’expression et d’opinion et accès à l’information</w:t>
      </w:r>
      <w:bookmarkEnd w:id="46"/>
      <w:bookmarkEnd w:id="47"/>
    </w:p>
    <w:p w:rsidR="0072365E" w:rsidRDefault="0072365E" w:rsidP="00F85197">
      <w:pPr>
        <w:spacing w:after="20"/>
        <w:jc w:val="both"/>
        <w:rPr>
          <w:rFonts w:cstheme="minorHAnsi"/>
        </w:rPr>
      </w:pPr>
    </w:p>
    <w:p w:rsidR="009D07C7" w:rsidRPr="00F504BB" w:rsidRDefault="00E14192" w:rsidP="00F85197">
      <w:pPr>
        <w:spacing w:after="20"/>
        <w:jc w:val="both"/>
        <w:rPr>
          <w:rFonts w:cstheme="minorHAnsi"/>
        </w:rPr>
      </w:pPr>
      <w:r w:rsidRPr="00D84F72">
        <w:rPr>
          <w:rFonts w:cstheme="minorHAnsi"/>
        </w:rPr>
        <w:t xml:space="preserve">Outre la question de l'accessibilité </w:t>
      </w:r>
      <w:r w:rsidR="005D5445">
        <w:rPr>
          <w:rFonts w:cstheme="minorHAnsi"/>
        </w:rPr>
        <w:t xml:space="preserve">aux </w:t>
      </w:r>
      <w:r w:rsidRPr="00D84F72">
        <w:rPr>
          <w:rFonts w:cstheme="minorHAnsi"/>
        </w:rPr>
        <w:t xml:space="preserve">technologies de l'information et de la communication </w:t>
      </w:r>
      <w:r w:rsidR="002A7D41">
        <w:rPr>
          <w:rFonts w:cstheme="minorHAnsi"/>
        </w:rPr>
        <w:t>(</w:t>
      </w:r>
      <w:r w:rsidRPr="00F504BB">
        <w:rPr>
          <w:rFonts w:cstheme="minorHAnsi"/>
        </w:rPr>
        <w:t xml:space="preserve">TIC) envisagée dans l’analyse de l’article 9, c’est </w:t>
      </w:r>
      <w:r w:rsidRPr="00F504BB">
        <w:rPr>
          <w:rFonts w:cstheme="minorHAnsi"/>
          <w:b/>
        </w:rPr>
        <w:t>l’accessibilité des médias</w:t>
      </w:r>
      <w:r w:rsidR="00995E08" w:rsidRPr="00F504BB">
        <w:rPr>
          <w:rFonts w:cstheme="minorHAnsi"/>
        </w:rPr>
        <w:t xml:space="preserve"> </w:t>
      </w:r>
      <w:r w:rsidRPr="00F504BB">
        <w:rPr>
          <w:rFonts w:cstheme="minorHAnsi"/>
        </w:rPr>
        <w:t xml:space="preserve">qui n’est que partielle. </w:t>
      </w:r>
    </w:p>
    <w:p w:rsidR="00F504BB" w:rsidRPr="00F504BB" w:rsidRDefault="00F504BB" w:rsidP="00F85197">
      <w:pPr>
        <w:spacing w:after="20"/>
        <w:jc w:val="both"/>
        <w:rPr>
          <w:rFonts w:cstheme="minorHAnsi"/>
        </w:rPr>
      </w:pPr>
      <w:r w:rsidRPr="00F504BB">
        <w:rPr>
          <w:rFonts w:ascii="Calibri" w:hAnsi="Calibri"/>
        </w:rPr>
        <w:t>Les chaînes dont l’audience moyenne annuelle dépasse 2,5% de l’audience totale ont obligation de rendre la totalité de leurs programmes accessibles aux personnes sourdes et malentendantes</w:t>
      </w:r>
      <w:r w:rsidR="00A11A9D">
        <w:rPr>
          <w:rFonts w:ascii="Calibri" w:hAnsi="Calibri"/>
        </w:rPr>
        <w:t>,</w:t>
      </w:r>
      <w:r w:rsidRPr="00F504BB">
        <w:rPr>
          <w:rFonts w:ascii="Calibri" w:hAnsi="Calibri"/>
        </w:rPr>
        <w:t xml:space="preserve"> à l’exception des messages publicitaires</w:t>
      </w:r>
    </w:p>
    <w:p w:rsidR="00E14192" w:rsidRPr="00D84F72" w:rsidRDefault="00E14192" w:rsidP="00F85197">
      <w:pPr>
        <w:spacing w:after="20"/>
        <w:jc w:val="both"/>
        <w:rPr>
          <w:rFonts w:cstheme="minorHAnsi"/>
        </w:rPr>
      </w:pPr>
      <w:r w:rsidRPr="00F504BB">
        <w:rPr>
          <w:rFonts w:cstheme="minorHAnsi"/>
        </w:rPr>
        <w:t xml:space="preserve">Le </w:t>
      </w:r>
      <w:r w:rsidR="00CA10D3" w:rsidRPr="00F504BB">
        <w:rPr>
          <w:rFonts w:cstheme="minorHAnsi"/>
        </w:rPr>
        <w:t>CSA</w:t>
      </w:r>
      <w:r w:rsidRPr="00F504BB">
        <w:rPr>
          <w:rFonts w:cstheme="minorHAnsi"/>
        </w:rPr>
        <w:t xml:space="preserve"> note la p</w:t>
      </w:r>
      <w:r w:rsidRPr="00F504BB">
        <w:rPr>
          <w:rFonts w:cstheme="minorHAnsi"/>
          <w:bCs/>
        </w:rPr>
        <w:t xml:space="preserve">résence insuffisante de programmes </w:t>
      </w:r>
      <w:r w:rsidR="00F504BB" w:rsidRPr="00F504BB">
        <w:rPr>
          <w:rFonts w:ascii="Calibri" w:hAnsi="Calibri"/>
        </w:rPr>
        <w:t xml:space="preserve">sous-titrés ou </w:t>
      </w:r>
      <w:r w:rsidRPr="00F504BB">
        <w:rPr>
          <w:rFonts w:cstheme="minorHAnsi"/>
          <w:bCs/>
        </w:rPr>
        <w:t>interprétés en LSF, l</w:t>
      </w:r>
      <w:r w:rsidRPr="00F504BB">
        <w:rPr>
          <w:rFonts w:cstheme="minorHAnsi"/>
        </w:rPr>
        <w:t>’a</w:t>
      </w:r>
      <w:r w:rsidRPr="00F504BB">
        <w:rPr>
          <w:rFonts w:cstheme="minorHAnsi"/>
          <w:bCs/>
        </w:rPr>
        <w:t>bsence de reprise des flux d’accessibilité par certains f</w:t>
      </w:r>
      <w:r w:rsidR="007C5F52" w:rsidRPr="00F504BB">
        <w:rPr>
          <w:rFonts w:cstheme="minorHAnsi"/>
          <w:bCs/>
        </w:rPr>
        <w:t>ournisseurs d’accès à internet</w:t>
      </w:r>
      <w:r w:rsidRPr="00F504BB">
        <w:rPr>
          <w:rFonts w:cstheme="minorHAnsi"/>
          <w:bCs/>
        </w:rPr>
        <w:t xml:space="preserve"> </w:t>
      </w:r>
      <w:r w:rsidRPr="00F504BB">
        <w:rPr>
          <w:rFonts w:cstheme="minorHAnsi"/>
        </w:rPr>
        <w:t>et u</w:t>
      </w:r>
      <w:r w:rsidRPr="00F504BB">
        <w:rPr>
          <w:rFonts w:cstheme="minorHAnsi"/>
          <w:bCs/>
        </w:rPr>
        <w:t>ne accessibilité insuffisante des services de mé</w:t>
      </w:r>
      <w:r w:rsidR="007C5F52" w:rsidRPr="00F504BB">
        <w:rPr>
          <w:rFonts w:cstheme="minorHAnsi"/>
          <w:bCs/>
        </w:rPr>
        <w:t>dias audiovisuels à la demande</w:t>
      </w:r>
      <w:r w:rsidRPr="00F504BB">
        <w:rPr>
          <w:rFonts w:cstheme="minorHAnsi"/>
          <w:bCs/>
        </w:rPr>
        <w:t>.</w:t>
      </w:r>
      <w:r w:rsidRPr="00F504BB">
        <w:rPr>
          <w:rFonts w:cstheme="minorHAnsi"/>
        </w:rPr>
        <w:t xml:space="preserve"> Concernant </w:t>
      </w:r>
      <w:r w:rsidRPr="00D84F72">
        <w:rPr>
          <w:rFonts w:cstheme="minorHAnsi"/>
        </w:rPr>
        <w:t xml:space="preserve">les </w:t>
      </w:r>
      <w:r w:rsidRPr="00D84F72">
        <w:rPr>
          <w:rFonts w:cstheme="minorHAnsi"/>
          <w:bCs/>
        </w:rPr>
        <w:t>entreprise</w:t>
      </w:r>
      <w:r w:rsidR="00F504BB">
        <w:rPr>
          <w:rFonts w:cstheme="minorHAnsi"/>
          <w:bCs/>
        </w:rPr>
        <w:t>s</w:t>
      </w:r>
      <w:r w:rsidRPr="00D84F72">
        <w:rPr>
          <w:rFonts w:cstheme="minorHAnsi"/>
          <w:bCs/>
        </w:rPr>
        <w:t xml:space="preserve"> privées, médias, éditeurs de logiciels, fabricants d’équipements, il n’existe aucune sanction en cas de non-respect. </w:t>
      </w:r>
    </w:p>
    <w:p w:rsidR="00E14192" w:rsidRPr="00D84F72" w:rsidRDefault="009D07C7" w:rsidP="00F85197">
      <w:pPr>
        <w:spacing w:after="20"/>
        <w:jc w:val="both"/>
        <w:rPr>
          <w:rFonts w:cstheme="minorHAnsi"/>
        </w:rPr>
      </w:pPr>
      <w:r>
        <w:rPr>
          <w:rFonts w:cstheme="minorHAnsi"/>
        </w:rPr>
        <w:t>Comme l</w:t>
      </w:r>
      <w:r w:rsidR="00E14192" w:rsidRPr="00D84F72">
        <w:rPr>
          <w:rFonts w:cstheme="minorHAnsi"/>
        </w:rPr>
        <w:t>'État ne respect</w:t>
      </w:r>
      <w:r>
        <w:rPr>
          <w:rFonts w:cstheme="minorHAnsi"/>
        </w:rPr>
        <w:t>e</w:t>
      </w:r>
      <w:r w:rsidR="00E14192" w:rsidRPr="00D84F72">
        <w:rPr>
          <w:rFonts w:cstheme="minorHAnsi"/>
        </w:rPr>
        <w:t xml:space="preserve"> toujours pas l'article 9</w:t>
      </w:r>
      <w:r w:rsidR="00E73545">
        <w:rPr>
          <w:rFonts w:cstheme="minorHAnsi"/>
        </w:rPr>
        <w:t>, les informations ne sont pas accessibles</w:t>
      </w:r>
      <w:r w:rsidR="001A32F3">
        <w:rPr>
          <w:rFonts w:cstheme="minorHAnsi"/>
        </w:rPr>
        <w:t>,</w:t>
      </w:r>
      <w:r>
        <w:rPr>
          <w:rFonts w:cstheme="minorHAnsi"/>
        </w:rPr>
        <w:t xml:space="preserve"> </w:t>
      </w:r>
      <w:r w:rsidR="00E73545">
        <w:rPr>
          <w:rFonts w:cstheme="minorHAnsi"/>
        </w:rPr>
        <w:t xml:space="preserve">la liberté d’expression et d’opinion des personnes </w:t>
      </w:r>
      <w:r w:rsidR="001A32F3">
        <w:rPr>
          <w:rFonts w:cstheme="minorHAnsi"/>
        </w:rPr>
        <w:t>s’en trouv</w:t>
      </w:r>
      <w:r w:rsidR="00086B67">
        <w:rPr>
          <w:rFonts w:cstheme="minorHAnsi"/>
        </w:rPr>
        <w:t>ant</w:t>
      </w:r>
      <w:r w:rsidR="00E73545">
        <w:rPr>
          <w:rFonts w:cstheme="minorHAnsi"/>
        </w:rPr>
        <w:t xml:space="preserve"> largement entravé</w:t>
      </w:r>
      <w:r w:rsidR="00A11A9D">
        <w:rPr>
          <w:rFonts w:cstheme="minorHAnsi"/>
        </w:rPr>
        <w:t>e</w:t>
      </w:r>
      <w:r w:rsidR="00E73545">
        <w:rPr>
          <w:rFonts w:cstheme="minorHAnsi"/>
        </w:rPr>
        <w:t xml:space="preserve">. </w:t>
      </w:r>
    </w:p>
    <w:p w:rsidR="00E14192" w:rsidRPr="00D84F72" w:rsidRDefault="00E14192" w:rsidP="00F85197">
      <w:pPr>
        <w:spacing w:after="20"/>
        <w:jc w:val="both"/>
        <w:rPr>
          <w:lang w:eastAsia="en-GB"/>
        </w:rPr>
      </w:pPr>
    </w:p>
    <w:tbl>
      <w:tblPr>
        <w:tblStyle w:val="GridTable1Light-Accent1"/>
        <w:tblW w:w="0" w:type="auto"/>
        <w:tblLook w:val="04A0" w:firstRow="1" w:lastRow="0" w:firstColumn="1" w:lastColumn="0" w:noHBand="0" w:noVBand="1"/>
      </w:tblPr>
      <w:tblGrid>
        <w:gridCol w:w="9062"/>
      </w:tblGrid>
      <w:tr w:rsidR="00D0337F" w:rsidTr="00A41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F2F7FC"/>
          </w:tcPr>
          <w:p w:rsidR="00D0337F" w:rsidRDefault="00D0337F" w:rsidP="00F85197">
            <w:pPr>
              <w:pStyle w:val="Heading7"/>
              <w:spacing w:before="0" w:after="20" w:line="259" w:lineRule="auto"/>
              <w:outlineLvl w:val="6"/>
            </w:pPr>
            <w:bookmarkStart w:id="48" w:name="_Toc20128132"/>
            <w:bookmarkStart w:id="49" w:name="_Toc18076114"/>
            <w:r w:rsidRPr="00F2623F">
              <w:rPr>
                <w:rStyle w:val="Emphasis"/>
                <w:i/>
                <w:iCs/>
              </w:rPr>
              <w:t>Recommandations</w:t>
            </w:r>
            <w:bookmarkEnd w:id="48"/>
            <w:r>
              <w:t> </w:t>
            </w:r>
          </w:p>
          <w:p w:rsidR="0029733C" w:rsidRPr="0029733C" w:rsidRDefault="0029733C" w:rsidP="0029733C">
            <w:pPr>
              <w:rPr>
                <w:lang w:eastAsia="en-GB"/>
              </w:rPr>
            </w:pPr>
          </w:p>
          <w:p w:rsidR="00762243" w:rsidRPr="00591F1A" w:rsidRDefault="00BD278C" w:rsidP="00027EF9">
            <w:pPr>
              <w:pStyle w:val="ListParagraph"/>
              <w:widowControl w:val="0"/>
              <w:numPr>
                <w:ilvl w:val="0"/>
                <w:numId w:val="5"/>
              </w:numPr>
              <w:autoSpaceDE w:val="0"/>
              <w:autoSpaceDN w:val="0"/>
              <w:spacing w:after="20" w:line="259" w:lineRule="auto"/>
              <w:ind w:right="113"/>
              <w:contextualSpacing w:val="0"/>
              <w:jc w:val="both"/>
            </w:pPr>
            <w:r>
              <w:t xml:space="preserve">Rendre obligatoire </w:t>
            </w:r>
            <w:r w:rsidRPr="00591F1A">
              <w:t>la formation à l'accessibilité numérique</w:t>
            </w:r>
            <w:r>
              <w:t xml:space="preserve"> d</w:t>
            </w:r>
            <w:r w:rsidR="00762243" w:rsidRPr="00591F1A">
              <w:t xml:space="preserve">ans les cursus de </w:t>
            </w:r>
            <w:r w:rsidR="00F26A99">
              <w:t>« </w:t>
            </w:r>
            <w:r w:rsidR="00762243" w:rsidRPr="00591F1A">
              <w:t>web design</w:t>
            </w:r>
            <w:r w:rsidR="00F26A99">
              <w:t> »</w:t>
            </w:r>
            <w:r w:rsidR="00025499">
              <w:t>.</w:t>
            </w:r>
          </w:p>
          <w:p w:rsidR="00F523DA" w:rsidRPr="00433098" w:rsidRDefault="00061EE1" w:rsidP="00027EF9">
            <w:pPr>
              <w:pStyle w:val="ListParagraph"/>
              <w:widowControl w:val="0"/>
              <w:numPr>
                <w:ilvl w:val="0"/>
                <w:numId w:val="5"/>
              </w:numPr>
              <w:autoSpaceDE w:val="0"/>
              <w:autoSpaceDN w:val="0"/>
              <w:spacing w:after="20" w:line="259" w:lineRule="auto"/>
              <w:ind w:right="113"/>
              <w:contextualSpacing w:val="0"/>
              <w:jc w:val="both"/>
            </w:pPr>
            <w:r>
              <w:t>Mettre</w:t>
            </w:r>
            <w:r w:rsidR="00762243" w:rsidRPr="00591F1A">
              <w:t xml:space="preserve"> en place des équipes d</w:t>
            </w:r>
            <w:r w:rsidR="00CA10D3">
              <w:t>e télé-interprètes en LSF</w:t>
            </w:r>
            <w:r w:rsidR="00F504BB">
              <w:t xml:space="preserve"> et de sous-titrage</w:t>
            </w:r>
            <w:r w:rsidR="00762243" w:rsidRPr="00591F1A">
              <w:t xml:space="preserve">, </w:t>
            </w:r>
            <w:r w:rsidR="00B37175">
              <w:t xml:space="preserve">notamment dans les services publics et les médias. </w:t>
            </w:r>
          </w:p>
          <w:p w:rsidR="00D0337F" w:rsidRDefault="00D0337F" w:rsidP="00F85197">
            <w:pPr>
              <w:spacing w:after="20" w:line="259" w:lineRule="auto"/>
              <w:jc w:val="both"/>
            </w:pPr>
          </w:p>
        </w:tc>
      </w:tr>
    </w:tbl>
    <w:p w:rsidR="003C44B3" w:rsidRPr="00D84F72" w:rsidRDefault="003C44B3" w:rsidP="00F85197">
      <w:pPr>
        <w:spacing w:after="20"/>
        <w:rPr>
          <w:rFonts w:asciiTheme="majorHAnsi" w:eastAsiaTheme="majorEastAsia" w:hAnsiTheme="majorHAnsi" w:cstheme="majorBidi"/>
          <w:b/>
          <w:i/>
          <w:color w:val="2F5496" w:themeColor="accent5" w:themeShade="BF"/>
          <w:lang w:eastAsia="en-GB"/>
        </w:rPr>
      </w:pPr>
      <w:r w:rsidRPr="00D84F72">
        <w:br w:type="page"/>
      </w:r>
    </w:p>
    <w:p w:rsidR="00E14192" w:rsidRDefault="00E14192" w:rsidP="007227BF">
      <w:pPr>
        <w:pStyle w:val="Heading3"/>
      </w:pPr>
      <w:bookmarkStart w:id="50" w:name="_Toc29546072"/>
      <w:r>
        <w:lastRenderedPageBreak/>
        <w:t>Article 22 – Respect de la vie privée</w:t>
      </w:r>
      <w:bookmarkEnd w:id="49"/>
      <w:bookmarkEnd w:id="50"/>
    </w:p>
    <w:p w:rsidR="00D05C22" w:rsidRDefault="00D05C22" w:rsidP="00F85197">
      <w:pPr>
        <w:spacing w:after="20"/>
        <w:jc w:val="both"/>
        <w:rPr>
          <w:rFonts w:cstheme="minorHAnsi"/>
        </w:rPr>
      </w:pPr>
    </w:p>
    <w:p w:rsidR="00010D6F" w:rsidRDefault="00010D6F" w:rsidP="00010D6F">
      <w:pPr>
        <w:spacing w:after="20"/>
        <w:jc w:val="both"/>
        <w:rPr>
          <w:rFonts w:cstheme="minorHAnsi"/>
        </w:rPr>
      </w:pPr>
      <w:r w:rsidRPr="00D84F72">
        <w:rPr>
          <w:rFonts w:cstheme="minorHAnsi"/>
        </w:rPr>
        <w:t xml:space="preserve">Malgré les lois tendant à octroyer plus d'intimité aux personnes handicapées, le constat d'une vision paternaliste et médicalisée est encore </w:t>
      </w:r>
      <w:r>
        <w:rPr>
          <w:rFonts w:cstheme="minorHAnsi"/>
        </w:rPr>
        <w:t>présent</w:t>
      </w:r>
      <w:r w:rsidRPr="00D84F72">
        <w:rPr>
          <w:rFonts w:cstheme="minorHAnsi"/>
        </w:rPr>
        <w:t xml:space="preserve"> et ne permet pas un véritable espace privé</w:t>
      </w:r>
      <w:r>
        <w:rPr>
          <w:rFonts w:cstheme="minorHAnsi"/>
        </w:rPr>
        <w:t>. En témoigne</w:t>
      </w:r>
      <w:r w:rsidRPr="00D84F72">
        <w:rPr>
          <w:rFonts w:cstheme="minorHAnsi"/>
        </w:rPr>
        <w:t xml:space="preserve"> le sujet tabou </w:t>
      </w:r>
      <w:r>
        <w:rPr>
          <w:rFonts w:cstheme="minorHAnsi"/>
        </w:rPr>
        <w:t>de</w:t>
      </w:r>
      <w:r w:rsidRPr="00D84F72">
        <w:rPr>
          <w:rFonts w:cstheme="minorHAnsi"/>
        </w:rPr>
        <w:t xml:space="preserve"> la vie sexuelle des personnes handicapées résidan</w:t>
      </w:r>
      <w:r>
        <w:rPr>
          <w:rFonts w:cstheme="minorHAnsi"/>
        </w:rPr>
        <w:t>t en établissements, qui connaissent</w:t>
      </w:r>
      <w:r w:rsidRPr="00D84F72">
        <w:rPr>
          <w:rFonts w:cstheme="minorHAnsi"/>
        </w:rPr>
        <w:t xml:space="preserve"> bien souvent une ingérence de nature à annihiler cette dernière.</w:t>
      </w:r>
    </w:p>
    <w:p w:rsidR="00010D6F" w:rsidRPr="00D84F72" w:rsidRDefault="00010D6F" w:rsidP="00010D6F">
      <w:pPr>
        <w:spacing w:after="20"/>
        <w:jc w:val="both"/>
        <w:rPr>
          <w:rFonts w:cstheme="minorHAnsi"/>
        </w:rPr>
      </w:pPr>
    </w:p>
    <w:p w:rsidR="00E14192" w:rsidRDefault="00010D6F" w:rsidP="00F85197">
      <w:pPr>
        <w:spacing w:after="20"/>
        <w:jc w:val="both"/>
        <w:rPr>
          <w:rFonts w:cstheme="minorHAnsi"/>
        </w:rPr>
      </w:pPr>
      <w:r>
        <w:rPr>
          <w:rFonts w:cstheme="minorHAnsi"/>
        </w:rPr>
        <w:t xml:space="preserve">Quant aux </w:t>
      </w:r>
      <w:r w:rsidR="00D05C22" w:rsidRPr="00D84F72">
        <w:rPr>
          <w:rFonts w:cstheme="minorHAnsi"/>
        </w:rPr>
        <w:t>informations personnelles</w:t>
      </w:r>
      <w:r w:rsidR="00D05C22">
        <w:rPr>
          <w:rFonts w:cstheme="minorHAnsi"/>
        </w:rPr>
        <w:t xml:space="preserve"> </w:t>
      </w:r>
      <w:r w:rsidR="00D05C22" w:rsidRPr="00BB1B04">
        <w:rPr>
          <w:rFonts w:cstheme="minorHAnsi"/>
          <w:b/>
        </w:rPr>
        <w:t>relatives à la santé et à la réadaptation</w:t>
      </w:r>
      <w:r w:rsidR="00D05C22" w:rsidRPr="00D84F72">
        <w:rPr>
          <w:rFonts w:cstheme="minorHAnsi"/>
        </w:rPr>
        <w:t xml:space="preserve"> des personnes handi</w:t>
      </w:r>
      <w:r w:rsidR="00D05C22">
        <w:rPr>
          <w:rFonts w:cstheme="minorHAnsi"/>
        </w:rPr>
        <w:t>capées</w:t>
      </w:r>
      <w:r>
        <w:rPr>
          <w:rFonts w:cstheme="minorHAnsi"/>
        </w:rPr>
        <w:t xml:space="preserve">, la protection, sur la base de l’égalité, </w:t>
      </w:r>
      <w:r w:rsidR="00E14192" w:rsidRPr="00D84F72">
        <w:rPr>
          <w:rFonts w:cstheme="minorHAnsi"/>
        </w:rPr>
        <w:t xml:space="preserve">n’est pas systématiquement mise en pratique concernant </w:t>
      </w:r>
      <w:r w:rsidR="00E14192" w:rsidRPr="00BB1B04">
        <w:rPr>
          <w:rFonts w:cstheme="minorHAnsi"/>
          <w:b/>
        </w:rPr>
        <w:t xml:space="preserve">les majeurs sous </w:t>
      </w:r>
      <w:r w:rsidR="00E14192" w:rsidRPr="007E54B6">
        <w:rPr>
          <w:rFonts w:cstheme="minorHAnsi"/>
          <w:b/>
        </w:rPr>
        <w:t>tutelle</w:t>
      </w:r>
      <w:r w:rsidR="00F523DA" w:rsidRPr="007E54B6">
        <w:rPr>
          <w:rFonts w:cstheme="minorHAnsi"/>
          <w:b/>
        </w:rPr>
        <w:t xml:space="preserve"> et curatelle renforcée</w:t>
      </w:r>
      <w:r w:rsidR="009D7E00" w:rsidRPr="007E54B6">
        <w:rPr>
          <w:rFonts w:cstheme="minorHAnsi"/>
        </w:rPr>
        <w:t>, car</w:t>
      </w:r>
      <w:r w:rsidR="009D7E00">
        <w:rPr>
          <w:rFonts w:cstheme="minorHAnsi"/>
        </w:rPr>
        <w:t xml:space="preserve"> </w:t>
      </w:r>
      <w:r w:rsidR="00E14192" w:rsidRPr="00D84F72">
        <w:rPr>
          <w:rFonts w:cstheme="minorHAnsi"/>
        </w:rPr>
        <w:t xml:space="preserve">à l’ère du numérique, les associations tutélaires récoltent et </w:t>
      </w:r>
      <w:r>
        <w:rPr>
          <w:rFonts w:cstheme="minorHAnsi"/>
        </w:rPr>
        <w:t>traitent</w:t>
      </w:r>
      <w:r w:rsidR="00A045B5">
        <w:rPr>
          <w:rFonts w:cstheme="minorHAnsi"/>
        </w:rPr>
        <w:t xml:space="preserve"> des données sensibles bien souvent en dehors du cadre légal.</w:t>
      </w:r>
    </w:p>
    <w:p w:rsidR="00010D6F" w:rsidRPr="00D84F72" w:rsidRDefault="00010D6F" w:rsidP="00F85197">
      <w:pPr>
        <w:spacing w:after="20"/>
        <w:jc w:val="both"/>
        <w:rPr>
          <w:rFonts w:cstheme="minorHAnsi"/>
        </w:rPr>
      </w:pPr>
    </w:p>
    <w:p w:rsidR="00F523DA" w:rsidRDefault="00F523DA" w:rsidP="00F85197">
      <w:pPr>
        <w:spacing w:after="20"/>
      </w:pPr>
      <w:bookmarkStart w:id="51" w:name="_Toc18076115"/>
    </w:p>
    <w:tbl>
      <w:tblPr>
        <w:tblStyle w:val="GridTable1Light-Accent1"/>
        <w:tblW w:w="0" w:type="auto"/>
        <w:tblLook w:val="04A0" w:firstRow="1" w:lastRow="0" w:firstColumn="1" w:lastColumn="0" w:noHBand="0" w:noVBand="1"/>
      </w:tblPr>
      <w:tblGrid>
        <w:gridCol w:w="9062"/>
      </w:tblGrid>
      <w:tr w:rsidR="00F523DA" w:rsidTr="008912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F2F7FC"/>
          </w:tcPr>
          <w:p w:rsidR="00F523DA" w:rsidRDefault="00F523DA" w:rsidP="00F85197">
            <w:pPr>
              <w:pStyle w:val="Heading7"/>
              <w:spacing w:before="0" w:after="20" w:line="259" w:lineRule="auto"/>
              <w:outlineLvl w:val="6"/>
              <w:rPr>
                <w:rStyle w:val="Emphasis"/>
                <w:i/>
                <w:iCs/>
              </w:rPr>
            </w:pPr>
            <w:r w:rsidRPr="00F2623F">
              <w:rPr>
                <w:rStyle w:val="Emphasis"/>
                <w:i/>
                <w:iCs/>
              </w:rPr>
              <w:t>Recommandations</w:t>
            </w:r>
          </w:p>
          <w:p w:rsidR="00CA10D3" w:rsidRPr="00CA10D3" w:rsidRDefault="00CA10D3" w:rsidP="00CA10D3">
            <w:pPr>
              <w:rPr>
                <w:lang w:eastAsia="en-GB"/>
              </w:rPr>
            </w:pPr>
          </w:p>
          <w:p w:rsidR="00F523DA" w:rsidRPr="00010D6F" w:rsidRDefault="00F523DA" w:rsidP="00027EF9">
            <w:pPr>
              <w:pStyle w:val="ListParagraph"/>
              <w:widowControl w:val="0"/>
              <w:numPr>
                <w:ilvl w:val="0"/>
                <w:numId w:val="5"/>
              </w:numPr>
              <w:autoSpaceDE w:val="0"/>
              <w:autoSpaceDN w:val="0"/>
              <w:spacing w:after="20"/>
              <w:ind w:right="113"/>
              <w:contextualSpacing w:val="0"/>
              <w:jc w:val="both"/>
            </w:pPr>
            <w:r>
              <w:t xml:space="preserve">Garantir le respect de </w:t>
            </w:r>
            <w:r w:rsidRPr="00591F1A">
              <w:t>la vie privée dans tous les lieux de vie accueillant des personnes handicapées, y compris dans des établissements sanitaires, sociaux, médico-sociaux et pénitentiaires.</w:t>
            </w:r>
          </w:p>
          <w:p w:rsidR="00010D6F" w:rsidRPr="009D4E69" w:rsidRDefault="00010D6F" w:rsidP="00027EF9">
            <w:pPr>
              <w:pStyle w:val="ListParagraph"/>
              <w:widowControl w:val="0"/>
              <w:numPr>
                <w:ilvl w:val="0"/>
                <w:numId w:val="5"/>
              </w:numPr>
              <w:autoSpaceDE w:val="0"/>
              <w:autoSpaceDN w:val="0"/>
              <w:spacing w:after="20"/>
              <w:ind w:right="113"/>
              <w:contextualSpacing w:val="0"/>
              <w:jc w:val="both"/>
            </w:pPr>
            <w:r w:rsidRPr="009D4E69">
              <w:t xml:space="preserve">Respecter la délibération de </w:t>
            </w:r>
            <w:r w:rsidRPr="009D4E69">
              <w:rPr>
                <w:rFonts w:cstheme="minorHAnsi"/>
              </w:rPr>
              <w:t>la Commission nationale de l’informatique et des libertés (CNIL)</w:t>
            </w:r>
            <w:r w:rsidR="00A11A9D">
              <w:rPr>
                <w:rFonts w:cstheme="minorHAnsi"/>
              </w:rPr>
              <w:t xml:space="preserve"> de 2016</w:t>
            </w:r>
            <w:r w:rsidRPr="009D4E69">
              <w:rPr>
                <w:rStyle w:val="EndnoteReference"/>
                <w:rFonts w:cstheme="minorHAnsi"/>
              </w:rPr>
              <w:t xml:space="preserve"> </w:t>
            </w:r>
            <w:r w:rsidRPr="009D4E69">
              <w:rPr>
                <w:rStyle w:val="EndnoteReference"/>
                <w:rFonts w:cstheme="minorHAnsi"/>
              </w:rPr>
              <w:endnoteReference w:id="43"/>
            </w:r>
            <w:r w:rsidRPr="009D4E69">
              <w:rPr>
                <w:rFonts w:cstheme="minorHAnsi"/>
              </w:rPr>
              <w:t xml:space="preserve"> </w:t>
            </w:r>
            <w:r w:rsidR="00F268B6" w:rsidRPr="009D4E69">
              <w:rPr>
                <w:rFonts w:cstheme="minorHAnsi"/>
              </w:rPr>
              <w:t>sur le traitement des données sensibles</w:t>
            </w:r>
            <w:r w:rsidR="009D4E69">
              <w:rPr>
                <w:rFonts w:cstheme="minorHAnsi"/>
              </w:rPr>
              <w:t>.</w:t>
            </w:r>
          </w:p>
          <w:p w:rsidR="00F523DA" w:rsidRPr="00433098" w:rsidRDefault="00F523DA" w:rsidP="00F85197">
            <w:pPr>
              <w:widowControl w:val="0"/>
              <w:autoSpaceDE w:val="0"/>
              <w:autoSpaceDN w:val="0"/>
              <w:spacing w:after="20"/>
              <w:ind w:left="360" w:right="113"/>
              <w:jc w:val="both"/>
            </w:pPr>
          </w:p>
        </w:tc>
      </w:tr>
    </w:tbl>
    <w:p w:rsidR="003C44B3" w:rsidRDefault="003C44B3" w:rsidP="00F85197">
      <w:pPr>
        <w:spacing w:after="20"/>
        <w:rPr>
          <w:rFonts w:asciiTheme="majorHAnsi" w:eastAsiaTheme="majorEastAsia" w:hAnsiTheme="majorHAnsi" w:cstheme="majorBidi"/>
          <w:b/>
          <w:i/>
          <w:color w:val="2F5496" w:themeColor="accent5" w:themeShade="BF"/>
          <w:sz w:val="26"/>
          <w:lang w:eastAsia="en-GB"/>
        </w:rPr>
      </w:pPr>
      <w:r>
        <w:br w:type="page"/>
      </w:r>
    </w:p>
    <w:p w:rsidR="00D0337F" w:rsidRDefault="00E14192" w:rsidP="00010D6F">
      <w:pPr>
        <w:pStyle w:val="Heading3"/>
      </w:pPr>
      <w:bookmarkStart w:id="52" w:name="_Toc29546073"/>
      <w:r>
        <w:lastRenderedPageBreak/>
        <w:t xml:space="preserve">Article 23 </w:t>
      </w:r>
      <w:r w:rsidR="00C4409C">
        <w:t>–</w:t>
      </w:r>
      <w:r>
        <w:t xml:space="preserve"> Respect du domicile et de la famille</w:t>
      </w:r>
      <w:bookmarkEnd w:id="51"/>
      <w:bookmarkEnd w:id="52"/>
    </w:p>
    <w:p w:rsidR="00AC4FF3" w:rsidRPr="00AC4FF3" w:rsidRDefault="00AC4FF3" w:rsidP="00AC4FF3"/>
    <w:p w:rsidR="00E14192" w:rsidRPr="00D0337F" w:rsidRDefault="00190BDE" w:rsidP="00F85197">
      <w:pPr>
        <w:pStyle w:val="Heading4"/>
        <w:spacing w:before="0" w:after="20"/>
        <w:ind w:left="708"/>
      </w:pPr>
      <w:r>
        <w:t>Vie de famille et parentalité</w:t>
      </w:r>
      <w:r w:rsidR="00E14192" w:rsidRPr="00D0337F">
        <w:t xml:space="preserve"> des personnes handicapées </w:t>
      </w:r>
    </w:p>
    <w:p w:rsidR="00190BDE" w:rsidRPr="00010D6F" w:rsidRDefault="00190BDE" w:rsidP="00F85197">
      <w:pPr>
        <w:spacing w:after="20"/>
        <w:jc w:val="both"/>
        <w:rPr>
          <w:rFonts w:cstheme="minorHAnsi"/>
          <w:b/>
          <w:sz w:val="16"/>
          <w:szCs w:val="16"/>
          <w:u w:val="single"/>
        </w:rPr>
      </w:pPr>
    </w:p>
    <w:p w:rsidR="008A3AC1" w:rsidRPr="000B589A" w:rsidRDefault="00190BDE" w:rsidP="00F85197">
      <w:pPr>
        <w:spacing w:after="20"/>
        <w:jc w:val="both"/>
        <w:rPr>
          <w:rFonts w:cstheme="minorHAnsi"/>
        </w:rPr>
      </w:pPr>
      <w:r w:rsidRPr="000B589A">
        <w:rPr>
          <w:rFonts w:cstheme="minorHAnsi"/>
        </w:rPr>
        <w:t>L’éducation à la vie affective et sexuelle, la contraception, la grossesse, la p</w:t>
      </w:r>
      <w:r w:rsidR="00685B74">
        <w:rPr>
          <w:rFonts w:cstheme="minorHAnsi"/>
        </w:rPr>
        <w:t>l</w:t>
      </w:r>
      <w:r w:rsidRPr="000B589A">
        <w:rPr>
          <w:rFonts w:cstheme="minorHAnsi"/>
        </w:rPr>
        <w:t>anification de la vie familiale ou encore l’aide à la parentalité sont autant de sujets négligés pour les personnes en situation de handicap, à tel point que des couples en foyer sont parfois séparés</w:t>
      </w:r>
      <w:r w:rsidR="008A3AC1" w:rsidRPr="000B589A">
        <w:rPr>
          <w:rFonts w:cstheme="minorHAnsi"/>
        </w:rPr>
        <w:t xml:space="preserve">. </w:t>
      </w:r>
    </w:p>
    <w:p w:rsidR="008A3AC1" w:rsidRPr="000B589A" w:rsidRDefault="008A3AC1" w:rsidP="00F85197">
      <w:pPr>
        <w:spacing w:after="20"/>
        <w:jc w:val="both"/>
        <w:rPr>
          <w:rFonts w:cstheme="minorHAnsi"/>
          <w:sz w:val="16"/>
          <w:szCs w:val="16"/>
        </w:rPr>
      </w:pPr>
    </w:p>
    <w:p w:rsidR="008A3AC1" w:rsidRPr="000B589A" w:rsidRDefault="008A3AC1" w:rsidP="00F85197">
      <w:pPr>
        <w:spacing w:after="20"/>
        <w:jc w:val="both"/>
        <w:rPr>
          <w:rFonts w:cstheme="minorHAnsi"/>
        </w:rPr>
      </w:pPr>
      <w:r w:rsidRPr="000B589A">
        <w:rPr>
          <w:rFonts w:cstheme="minorHAnsi"/>
        </w:rPr>
        <w:t>Si</w:t>
      </w:r>
      <w:r w:rsidR="00A045B5">
        <w:rPr>
          <w:rFonts w:cstheme="minorHAnsi"/>
        </w:rPr>
        <w:t>,</w:t>
      </w:r>
      <w:r w:rsidRPr="000B589A">
        <w:rPr>
          <w:rFonts w:cstheme="minorHAnsi"/>
        </w:rPr>
        <w:t xml:space="preserve"> en aucun cas</w:t>
      </w:r>
      <w:r w:rsidR="00A045B5">
        <w:rPr>
          <w:rFonts w:cstheme="minorHAnsi"/>
        </w:rPr>
        <w:t>,</w:t>
      </w:r>
      <w:r w:rsidRPr="000B589A">
        <w:rPr>
          <w:rFonts w:cstheme="minorHAnsi"/>
        </w:rPr>
        <w:t xml:space="preserve"> un enfant ne doit être séparé de ses parents en raison du </w:t>
      </w:r>
      <w:r w:rsidRPr="000C4D03">
        <w:rPr>
          <w:rFonts w:cstheme="minorHAnsi"/>
          <w:b/>
        </w:rPr>
        <w:t>handicap de l’un ou des deux parents</w:t>
      </w:r>
      <w:r w:rsidRPr="000B589A">
        <w:rPr>
          <w:rFonts w:cstheme="minorHAnsi"/>
        </w:rPr>
        <w:t>, les parents en situation de handicap peuvent faire l’objet de suspicions et de signalements</w:t>
      </w:r>
      <w:r w:rsidR="000C4D03">
        <w:rPr>
          <w:rFonts w:cstheme="minorHAnsi"/>
        </w:rPr>
        <w:t>. D’ailleurs, les enfants so</w:t>
      </w:r>
      <w:r w:rsidRPr="000B589A">
        <w:rPr>
          <w:rFonts w:cstheme="minorHAnsi"/>
        </w:rPr>
        <w:t>nt plus souvent enlevés à la garde de leur parent handicapé en cas de divorce.</w:t>
      </w:r>
    </w:p>
    <w:p w:rsidR="00E14192" w:rsidRPr="000B589A" w:rsidRDefault="00E14192" w:rsidP="00F85197">
      <w:pPr>
        <w:spacing w:after="20"/>
        <w:jc w:val="both"/>
        <w:rPr>
          <w:rFonts w:cstheme="minorHAnsi"/>
        </w:rPr>
      </w:pPr>
    </w:p>
    <w:p w:rsidR="00E14192" w:rsidRPr="00D0337F" w:rsidRDefault="00E14192" w:rsidP="00F85197">
      <w:pPr>
        <w:pStyle w:val="Heading4"/>
        <w:spacing w:before="0" w:after="20"/>
        <w:ind w:left="708"/>
      </w:pPr>
      <w:r w:rsidRPr="00D0337F">
        <w:t xml:space="preserve">Famille </w:t>
      </w:r>
      <w:r w:rsidR="00D05C22">
        <w:t>d’</w:t>
      </w:r>
      <w:r w:rsidRPr="00D0337F">
        <w:t>enfant</w:t>
      </w:r>
      <w:r w:rsidR="00190BDE">
        <w:t>(</w:t>
      </w:r>
      <w:r w:rsidRPr="00D0337F">
        <w:t>s</w:t>
      </w:r>
      <w:r w:rsidR="00190BDE">
        <w:t>)</w:t>
      </w:r>
      <w:r w:rsidRPr="00D0337F">
        <w:t xml:space="preserve"> handicapé</w:t>
      </w:r>
      <w:r w:rsidR="00190BDE">
        <w:t>(</w:t>
      </w:r>
      <w:r w:rsidRPr="00D0337F">
        <w:t>s</w:t>
      </w:r>
      <w:r w:rsidR="00190BDE">
        <w:t>)</w:t>
      </w:r>
    </w:p>
    <w:p w:rsidR="00D84F72" w:rsidRPr="00010D6F" w:rsidRDefault="00D84F72" w:rsidP="00F85197">
      <w:pPr>
        <w:spacing w:after="20"/>
        <w:jc w:val="both"/>
        <w:rPr>
          <w:rFonts w:cstheme="minorHAnsi"/>
          <w:b/>
          <w:sz w:val="16"/>
          <w:szCs w:val="16"/>
          <w:u w:val="single"/>
        </w:rPr>
      </w:pPr>
    </w:p>
    <w:p w:rsidR="00190BDE" w:rsidRDefault="00E14192" w:rsidP="00190BDE">
      <w:pPr>
        <w:spacing w:after="20"/>
        <w:jc w:val="both"/>
        <w:rPr>
          <w:rFonts w:cstheme="minorHAnsi"/>
        </w:rPr>
      </w:pPr>
      <w:r w:rsidRPr="00D0337F">
        <w:rPr>
          <w:rFonts w:cstheme="minorHAnsi"/>
        </w:rPr>
        <w:t xml:space="preserve">Les familles d’enfant(s) handicapé(s) ne bénéficient pas toujours d’une </w:t>
      </w:r>
      <w:r w:rsidRPr="000C4D03">
        <w:rPr>
          <w:rFonts w:cstheme="minorHAnsi"/>
          <w:b/>
        </w:rPr>
        <w:t>compensation</w:t>
      </w:r>
      <w:r w:rsidRPr="00D0337F">
        <w:rPr>
          <w:rFonts w:cstheme="minorHAnsi"/>
        </w:rPr>
        <w:t xml:space="preserve"> à la hauteur des besoins</w:t>
      </w:r>
      <w:r w:rsidR="00190BDE">
        <w:rPr>
          <w:rFonts w:cstheme="minorHAnsi"/>
        </w:rPr>
        <w:t xml:space="preserve">, d’autant que : </w:t>
      </w:r>
    </w:p>
    <w:p w:rsidR="00190BDE" w:rsidRDefault="00190BDE" w:rsidP="00190BDE">
      <w:pPr>
        <w:pStyle w:val="ListParagraph"/>
        <w:numPr>
          <w:ilvl w:val="0"/>
          <w:numId w:val="16"/>
        </w:numPr>
        <w:spacing w:after="20"/>
        <w:jc w:val="both"/>
        <w:rPr>
          <w:rFonts w:cstheme="minorHAnsi"/>
        </w:rPr>
      </w:pPr>
      <w:r>
        <w:rPr>
          <w:rFonts w:cstheme="minorHAnsi"/>
        </w:rPr>
        <w:t>Les c</w:t>
      </w:r>
      <w:r w:rsidR="00E14192" w:rsidRPr="00190BDE">
        <w:rPr>
          <w:rFonts w:cstheme="minorHAnsi"/>
        </w:rPr>
        <w:t xml:space="preserve">onditions d’attribution </w:t>
      </w:r>
      <w:r w:rsidRPr="00190BDE">
        <w:rPr>
          <w:rFonts w:cstheme="minorHAnsi"/>
        </w:rPr>
        <w:t xml:space="preserve">des prestations </w:t>
      </w:r>
      <w:r w:rsidR="00E14192" w:rsidRPr="00190BDE">
        <w:rPr>
          <w:rFonts w:cstheme="minorHAnsi"/>
        </w:rPr>
        <w:t>sont de plus en plus restrictives</w:t>
      </w:r>
      <w:r w:rsidRPr="00190BDE">
        <w:rPr>
          <w:rFonts w:cstheme="minorHAnsi"/>
        </w:rPr>
        <w:t xml:space="preserve"> ; </w:t>
      </w:r>
    </w:p>
    <w:p w:rsidR="00190BDE" w:rsidRDefault="00190BDE" w:rsidP="00190BDE">
      <w:pPr>
        <w:pStyle w:val="ListParagraph"/>
        <w:numPr>
          <w:ilvl w:val="0"/>
          <w:numId w:val="16"/>
        </w:numPr>
        <w:spacing w:after="20"/>
        <w:jc w:val="both"/>
        <w:rPr>
          <w:rFonts w:cstheme="minorHAnsi"/>
        </w:rPr>
      </w:pPr>
      <w:r>
        <w:rPr>
          <w:rFonts w:cstheme="minorHAnsi"/>
        </w:rPr>
        <w:t>Il n’y a que t</w:t>
      </w:r>
      <w:r w:rsidR="00E14192" w:rsidRPr="00190BDE">
        <w:rPr>
          <w:rFonts w:cstheme="minorHAnsi"/>
        </w:rPr>
        <w:t>rop peu d’information sur le droit d’option entre</w:t>
      </w:r>
      <w:r w:rsidRPr="00190BDE">
        <w:rPr>
          <w:rFonts w:cstheme="minorHAnsi"/>
        </w:rPr>
        <w:t xml:space="preserve"> la PCH et</w:t>
      </w:r>
      <w:r w:rsidR="00E14192" w:rsidRPr="00190BDE">
        <w:rPr>
          <w:rFonts w:cstheme="minorHAnsi"/>
        </w:rPr>
        <w:t xml:space="preserve"> l’allocation d’éducation pour enfant handicapé (AEEH) et ses compléments</w:t>
      </w:r>
      <w:r w:rsidRPr="00190BDE">
        <w:rPr>
          <w:rFonts w:cstheme="minorHAnsi"/>
        </w:rPr>
        <w:t xml:space="preserve"> ; </w:t>
      </w:r>
    </w:p>
    <w:p w:rsidR="00190BDE" w:rsidRPr="00190BDE" w:rsidRDefault="00190BDE" w:rsidP="00190BDE">
      <w:pPr>
        <w:pStyle w:val="ListParagraph"/>
        <w:numPr>
          <w:ilvl w:val="0"/>
          <w:numId w:val="16"/>
        </w:numPr>
        <w:spacing w:after="20"/>
        <w:jc w:val="both"/>
        <w:rPr>
          <w:rFonts w:cstheme="minorHAnsi"/>
        </w:rPr>
      </w:pPr>
      <w:r>
        <w:rPr>
          <w:rFonts w:cstheme="minorHAnsi"/>
        </w:rPr>
        <w:t>L’a</w:t>
      </w:r>
      <w:r w:rsidRPr="00190BDE">
        <w:rPr>
          <w:rFonts w:cstheme="minorHAnsi"/>
        </w:rPr>
        <w:t>ccueil dès la petite enfance</w:t>
      </w:r>
      <w:r>
        <w:rPr>
          <w:rFonts w:cstheme="minorHAnsi"/>
        </w:rPr>
        <w:t xml:space="preserve"> reste</w:t>
      </w:r>
      <w:r w:rsidRPr="00190BDE">
        <w:rPr>
          <w:rFonts w:cstheme="minorHAnsi"/>
        </w:rPr>
        <w:t xml:space="preserve"> insuffisant. </w:t>
      </w:r>
    </w:p>
    <w:p w:rsidR="00190BDE" w:rsidRPr="000B589A" w:rsidRDefault="00190BDE" w:rsidP="00F85197">
      <w:pPr>
        <w:spacing w:after="20"/>
        <w:jc w:val="both"/>
        <w:rPr>
          <w:rFonts w:cstheme="minorHAnsi"/>
          <w:sz w:val="16"/>
          <w:szCs w:val="16"/>
        </w:rPr>
      </w:pPr>
    </w:p>
    <w:p w:rsidR="00E736CD" w:rsidRPr="000B589A" w:rsidRDefault="00E736CD" w:rsidP="00F85197">
      <w:pPr>
        <w:spacing w:after="20"/>
        <w:jc w:val="both"/>
        <w:rPr>
          <w:rFonts w:cstheme="minorHAnsi"/>
        </w:rPr>
      </w:pPr>
      <w:r w:rsidRPr="000B589A">
        <w:rPr>
          <w:rFonts w:cstheme="minorHAnsi"/>
        </w:rPr>
        <w:t>De plus, certains handicaps, comme les troubles du neuro-développement ne son</w:t>
      </w:r>
      <w:r w:rsidR="0027714D" w:rsidRPr="000B589A">
        <w:rPr>
          <w:rFonts w:cstheme="minorHAnsi"/>
        </w:rPr>
        <w:t>t pas identifiés par l’ASE</w:t>
      </w:r>
      <w:r w:rsidRPr="000B589A">
        <w:rPr>
          <w:rFonts w:cstheme="minorHAnsi"/>
        </w:rPr>
        <w:t>, qui incrimine les carences éducatives des parents, surtout s’il s’agit de femmes seules ; les enfants sont ainsi privés de leurs parents</w:t>
      </w:r>
      <w:r w:rsidR="0099169F" w:rsidRPr="000B589A">
        <w:rPr>
          <w:rFonts w:cstheme="minorHAnsi"/>
        </w:rPr>
        <w:t xml:space="preserve"> et</w:t>
      </w:r>
      <w:r w:rsidRPr="000B589A">
        <w:rPr>
          <w:rFonts w:cstheme="minorHAnsi"/>
        </w:rPr>
        <w:t xml:space="preserve"> la séparation des fratries est fréquente, sans que </w:t>
      </w:r>
      <w:r w:rsidR="0099169F" w:rsidRPr="000B589A">
        <w:rPr>
          <w:rFonts w:cstheme="minorHAnsi"/>
        </w:rPr>
        <w:t>l’</w:t>
      </w:r>
      <w:r w:rsidRPr="000B589A">
        <w:rPr>
          <w:rFonts w:cstheme="minorHAnsi"/>
        </w:rPr>
        <w:t xml:space="preserve">avis </w:t>
      </w:r>
      <w:r w:rsidR="0099169F" w:rsidRPr="000B589A">
        <w:rPr>
          <w:rFonts w:cstheme="minorHAnsi"/>
        </w:rPr>
        <w:t xml:space="preserve">de l’enfant ou de la famille </w:t>
      </w:r>
      <w:r w:rsidRPr="000B589A">
        <w:rPr>
          <w:rFonts w:cstheme="minorHAnsi"/>
        </w:rPr>
        <w:t>ne soit pris en compte.</w:t>
      </w:r>
    </w:p>
    <w:p w:rsidR="00E14192" w:rsidRPr="000B589A" w:rsidRDefault="00E14192" w:rsidP="00F85197">
      <w:pPr>
        <w:spacing w:after="20"/>
        <w:jc w:val="both"/>
        <w:rPr>
          <w:rFonts w:cstheme="minorHAnsi"/>
          <w:sz w:val="16"/>
          <w:szCs w:val="16"/>
        </w:rPr>
      </w:pPr>
    </w:p>
    <w:p w:rsidR="00010D6F" w:rsidRPr="000B589A" w:rsidRDefault="00010D6F" w:rsidP="00F85197">
      <w:pPr>
        <w:spacing w:after="20"/>
        <w:jc w:val="both"/>
        <w:rPr>
          <w:rFonts w:cstheme="minorHAnsi"/>
        </w:rPr>
      </w:pPr>
      <w:r w:rsidRPr="000B589A">
        <w:rPr>
          <w:rFonts w:cstheme="minorHAnsi"/>
        </w:rPr>
        <w:t>Finalement, dans certains départements, les familles</w:t>
      </w:r>
      <w:r w:rsidR="00A045B5">
        <w:rPr>
          <w:rFonts w:cstheme="minorHAnsi"/>
        </w:rPr>
        <w:t xml:space="preserve"> </w:t>
      </w:r>
      <w:r w:rsidR="00A045B5">
        <w:t xml:space="preserve">ne peuvent recevoir leurs enfants handicapés qu’au plus 31 jours par an aux risques de se voir facturer des frais si elles dépassent ce délai, </w:t>
      </w:r>
      <w:r w:rsidR="00A045B5">
        <w:lastRenderedPageBreak/>
        <w:t>sans oublier que les foyers et ESMS se trouvent souvent loin du</w:t>
      </w:r>
      <w:r w:rsidRPr="000B589A">
        <w:rPr>
          <w:rFonts w:cstheme="minorHAnsi"/>
        </w:rPr>
        <w:t xml:space="preserve"> </w:t>
      </w:r>
      <w:r w:rsidR="00A045B5">
        <w:rPr>
          <w:rFonts w:cstheme="minorHAnsi"/>
        </w:rPr>
        <w:t xml:space="preserve">lieu de résidence des familles. Cela </w:t>
      </w:r>
      <w:r w:rsidR="00A3607D" w:rsidRPr="000B589A">
        <w:rPr>
          <w:rFonts w:cstheme="minorHAnsi"/>
        </w:rPr>
        <w:t xml:space="preserve">constitue un véritable frein à la vie familiale. </w:t>
      </w:r>
    </w:p>
    <w:p w:rsidR="00E14192" w:rsidRPr="00953F40" w:rsidRDefault="00E14192" w:rsidP="00F85197">
      <w:pPr>
        <w:spacing w:after="20"/>
        <w:jc w:val="both"/>
        <w:rPr>
          <w:lang w:eastAsia="en-GB"/>
        </w:rPr>
      </w:pPr>
    </w:p>
    <w:tbl>
      <w:tblPr>
        <w:tblStyle w:val="GridTable1Light-Accent1"/>
        <w:tblW w:w="0" w:type="auto"/>
        <w:tblLook w:val="04A0" w:firstRow="1" w:lastRow="0" w:firstColumn="1" w:lastColumn="0" w:noHBand="0" w:noVBand="1"/>
      </w:tblPr>
      <w:tblGrid>
        <w:gridCol w:w="9062"/>
      </w:tblGrid>
      <w:tr w:rsidR="00D0337F" w:rsidTr="00A41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F2F7FC"/>
          </w:tcPr>
          <w:p w:rsidR="00D0337F" w:rsidRDefault="00D0337F" w:rsidP="00F85197">
            <w:pPr>
              <w:pStyle w:val="Heading7"/>
              <w:spacing w:before="0" w:after="20" w:line="259" w:lineRule="auto"/>
              <w:outlineLvl w:val="6"/>
              <w:rPr>
                <w:rStyle w:val="Emphasis"/>
                <w:i/>
                <w:iCs/>
              </w:rPr>
            </w:pPr>
            <w:bookmarkStart w:id="53" w:name="_Toc20128136"/>
            <w:bookmarkStart w:id="54" w:name="_Toc18076116"/>
            <w:r w:rsidRPr="00F2623F">
              <w:rPr>
                <w:rStyle w:val="Emphasis"/>
                <w:i/>
                <w:iCs/>
              </w:rPr>
              <w:t>Recommandations</w:t>
            </w:r>
            <w:bookmarkEnd w:id="53"/>
            <w:r w:rsidRPr="007C4399">
              <w:rPr>
                <w:rStyle w:val="Emphasis"/>
                <w:i/>
                <w:iCs/>
              </w:rPr>
              <w:t> </w:t>
            </w:r>
          </w:p>
          <w:p w:rsidR="00CA10D3" w:rsidRPr="00CA10D3" w:rsidRDefault="00CA10D3" w:rsidP="00CA10D3">
            <w:pPr>
              <w:rPr>
                <w:lang w:eastAsia="en-GB"/>
              </w:rPr>
            </w:pPr>
          </w:p>
          <w:p w:rsidR="00762243" w:rsidRPr="00591F1A" w:rsidRDefault="00762243" w:rsidP="00027EF9">
            <w:pPr>
              <w:pStyle w:val="ListParagraph"/>
              <w:widowControl w:val="0"/>
              <w:numPr>
                <w:ilvl w:val="0"/>
                <w:numId w:val="5"/>
              </w:numPr>
              <w:autoSpaceDE w:val="0"/>
              <w:autoSpaceDN w:val="0"/>
              <w:spacing w:after="20" w:line="259" w:lineRule="auto"/>
              <w:ind w:right="113"/>
              <w:contextualSpacing w:val="0"/>
              <w:jc w:val="both"/>
            </w:pPr>
            <w:r w:rsidRPr="00591F1A">
              <w:t>Renforcer la législation sur tous les aspects de la non-discrimination</w:t>
            </w:r>
            <w:r w:rsidR="00600417">
              <w:t>,</w:t>
            </w:r>
            <w:r w:rsidRPr="00591F1A">
              <w:t xml:space="preserve"> dont ceux du droit à se marier, d’avoir des enfants et de vivre en famille</w:t>
            </w:r>
            <w:r w:rsidR="00600417">
              <w:t xml:space="preserve">, en octroyant </w:t>
            </w:r>
            <w:r w:rsidR="00E43D40">
              <w:t xml:space="preserve">les moyens compensatoires </w:t>
            </w:r>
            <w:r w:rsidR="00E43D40" w:rsidRPr="00600417">
              <w:rPr>
                <w:i/>
              </w:rPr>
              <w:t>ad hoc</w:t>
            </w:r>
            <w:r w:rsidRPr="00591F1A">
              <w:t>.</w:t>
            </w:r>
          </w:p>
          <w:p w:rsidR="002176D5" w:rsidRPr="00600417" w:rsidRDefault="00762243" w:rsidP="00027EF9">
            <w:pPr>
              <w:pStyle w:val="ListParagraph"/>
              <w:widowControl w:val="0"/>
              <w:numPr>
                <w:ilvl w:val="0"/>
                <w:numId w:val="5"/>
              </w:numPr>
              <w:autoSpaceDE w:val="0"/>
              <w:autoSpaceDN w:val="0"/>
              <w:spacing w:after="20" w:line="259" w:lineRule="auto"/>
              <w:ind w:right="113"/>
              <w:contextualSpacing w:val="0"/>
              <w:jc w:val="both"/>
            </w:pPr>
            <w:r w:rsidRPr="00600417">
              <w:t>Développer des actions de sensibilisation, d’éducation, de</w:t>
            </w:r>
            <w:r w:rsidR="002176D5" w:rsidRPr="00600417">
              <w:t xml:space="preserve"> communication et d’information</w:t>
            </w:r>
            <w:r w:rsidRPr="00600417">
              <w:t xml:space="preserve"> pour </w:t>
            </w:r>
            <w:r w:rsidR="002176D5" w:rsidRPr="00600417">
              <w:t>contrer</w:t>
            </w:r>
            <w:r w:rsidRPr="00600417">
              <w:t xml:space="preserve"> les pratiques discriminatoires</w:t>
            </w:r>
            <w:r w:rsidR="00E43D40" w:rsidRPr="00600417">
              <w:t>.</w:t>
            </w:r>
          </w:p>
          <w:p w:rsidR="00762243" w:rsidRPr="00591F1A" w:rsidRDefault="00600417" w:rsidP="00027EF9">
            <w:pPr>
              <w:pStyle w:val="ListParagraph"/>
              <w:widowControl w:val="0"/>
              <w:numPr>
                <w:ilvl w:val="0"/>
                <w:numId w:val="5"/>
              </w:numPr>
              <w:autoSpaceDE w:val="0"/>
              <w:autoSpaceDN w:val="0"/>
              <w:spacing w:after="20" w:line="259" w:lineRule="auto"/>
              <w:ind w:right="113"/>
              <w:contextualSpacing w:val="0"/>
              <w:jc w:val="both"/>
            </w:pPr>
            <w:r w:rsidRPr="009D4E69">
              <w:t xml:space="preserve">Rendre possible </w:t>
            </w:r>
            <w:r w:rsidR="00762243" w:rsidRPr="009D4E69">
              <w:t>l’accès</w:t>
            </w:r>
            <w:r w:rsidR="00762243" w:rsidRPr="00591F1A">
              <w:t xml:space="preserve"> à une vie affective et sexuelle et à la parentalité des personnes handicapées.</w:t>
            </w:r>
          </w:p>
          <w:p w:rsidR="00762243" w:rsidRPr="00591F1A" w:rsidRDefault="00762243" w:rsidP="00027EF9">
            <w:pPr>
              <w:pStyle w:val="ListParagraph"/>
              <w:widowControl w:val="0"/>
              <w:numPr>
                <w:ilvl w:val="0"/>
                <w:numId w:val="5"/>
              </w:numPr>
              <w:autoSpaceDE w:val="0"/>
              <w:autoSpaceDN w:val="0"/>
              <w:spacing w:after="20" w:line="259" w:lineRule="auto"/>
              <w:ind w:right="113"/>
              <w:contextualSpacing w:val="0"/>
              <w:jc w:val="both"/>
            </w:pPr>
            <w:r w:rsidRPr="00591F1A">
              <w:t>D</w:t>
            </w:r>
            <w:r w:rsidR="002176D5">
              <w:t>écloisonner</w:t>
            </w:r>
            <w:r w:rsidR="003D323B">
              <w:t xml:space="preserve"> </w:t>
            </w:r>
            <w:r w:rsidRPr="003D323B">
              <w:t>les secteurs de l’éducat</w:t>
            </w:r>
            <w:r w:rsidR="003D323B">
              <w:t>ion, du sanitaire et du social.</w:t>
            </w:r>
          </w:p>
          <w:p w:rsidR="00762243" w:rsidRPr="00591F1A" w:rsidRDefault="002176D5" w:rsidP="00027EF9">
            <w:pPr>
              <w:pStyle w:val="ListParagraph"/>
              <w:widowControl w:val="0"/>
              <w:numPr>
                <w:ilvl w:val="0"/>
                <w:numId w:val="5"/>
              </w:numPr>
              <w:autoSpaceDE w:val="0"/>
              <w:autoSpaceDN w:val="0"/>
              <w:spacing w:after="20" w:line="259" w:lineRule="auto"/>
              <w:ind w:right="113"/>
              <w:contextualSpacing w:val="0"/>
              <w:jc w:val="both"/>
            </w:pPr>
            <w:r>
              <w:t>Accorder une aide suffisante pour permettre aux enfants de vivre avec leurs parents.</w:t>
            </w:r>
          </w:p>
          <w:p w:rsidR="00D0337F" w:rsidRPr="003D323B" w:rsidRDefault="000C4D03" w:rsidP="00027EF9">
            <w:pPr>
              <w:pStyle w:val="ListParagraph"/>
              <w:widowControl w:val="0"/>
              <w:numPr>
                <w:ilvl w:val="0"/>
                <w:numId w:val="5"/>
              </w:numPr>
              <w:autoSpaceDE w:val="0"/>
              <w:autoSpaceDN w:val="0"/>
              <w:spacing w:after="20" w:line="259" w:lineRule="auto"/>
              <w:ind w:right="113"/>
              <w:contextualSpacing w:val="0"/>
              <w:jc w:val="both"/>
            </w:pPr>
            <w:r>
              <w:t>Améliorer la</w:t>
            </w:r>
            <w:r w:rsidR="003D323B">
              <w:t xml:space="preserve"> prise en charge des</w:t>
            </w:r>
            <w:r w:rsidR="003D323B" w:rsidRPr="00591F1A">
              <w:t xml:space="preserve"> aidants familiaux.</w:t>
            </w:r>
          </w:p>
          <w:p w:rsidR="00D0337F" w:rsidRDefault="00D0337F" w:rsidP="00F85197">
            <w:pPr>
              <w:spacing w:after="20" w:line="259" w:lineRule="auto"/>
              <w:jc w:val="both"/>
            </w:pPr>
          </w:p>
        </w:tc>
      </w:tr>
    </w:tbl>
    <w:p w:rsidR="00115133" w:rsidRDefault="00F87278" w:rsidP="00600417">
      <w:pPr>
        <w:spacing w:after="20"/>
        <w:rPr>
          <w:rFonts w:asciiTheme="majorHAnsi" w:eastAsiaTheme="majorEastAsia" w:hAnsiTheme="majorHAnsi" w:cstheme="majorBidi"/>
          <w:b/>
          <w:i/>
          <w:color w:val="2F5496" w:themeColor="accent5" w:themeShade="BF"/>
          <w:sz w:val="26"/>
          <w:lang w:eastAsia="en-GB"/>
        </w:rPr>
      </w:pPr>
      <w:r>
        <w:rPr>
          <w:rFonts w:asciiTheme="majorHAnsi" w:eastAsiaTheme="majorEastAsia" w:hAnsiTheme="majorHAnsi" w:cstheme="majorBidi"/>
          <w:b/>
          <w:i/>
          <w:color w:val="2F5496" w:themeColor="accent5" w:themeShade="BF"/>
          <w:sz w:val="26"/>
          <w:lang w:eastAsia="en-GB"/>
        </w:rPr>
        <w:t xml:space="preserve"> </w:t>
      </w:r>
    </w:p>
    <w:p w:rsidR="00010D6F" w:rsidRDefault="00010D6F">
      <w:pPr>
        <w:spacing w:after="160"/>
        <w:rPr>
          <w:rFonts w:asciiTheme="majorHAnsi" w:eastAsiaTheme="majorEastAsia" w:hAnsiTheme="majorHAnsi" w:cstheme="majorBidi"/>
          <w:b/>
          <w:i/>
          <w:color w:val="2F5496" w:themeColor="accent5" w:themeShade="BF"/>
          <w:sz w:val="26"/>
          <w:lang w:eastAsia="en-GB"/>
        </w:rPr>
      </w:pPr>
      <w:bookmarkStart w:id="55" w:name="_Toc18076117"/>
      <w:bookmarkEnd w:id="54"/>
      <w:r>
        <w:br w:type="page"/>
      </w:r>
    </w:p>
    <w:p w:rsidR="00F87278" w:rsidRDefault="00F87278" w:rsidP="00F87278">
      <w:pPr>
        <w:pStyle w:val="Heading3"/>
      </w:pPr>
      <w:bookmarkStart w:id="56" w:name="_Toc29546074"/>
      <w:r>
        <w:lastRenderedPageBreak/>
        <w:t xml:space="preserve">Article 24 – </w:t>
      </w:r>
      <w:r w:rsidR="009F2B7B">
        <w:t>Éducation</w:t>
      </w:r>
      <w:bookmarkEnd w:id="56"/>
      <w:r>
        <w:t xml:space="preserve"> </w:t>
      </w:r>
    </w:p>
    <w:p w:rsidR="00F87278" w:rsidRDefault="00F87278" w:rsidP="002A6084">
      <w:pPr>
        <w:spacing w:after="20" w:line="240" w:lineRule="auto"/>
        <w:jc w:val="both"/>
        <w:rPr>
          <w:rFonts w:cs="Times New Roman"/>
        </w:rPr>
      </w:pPr>
    </w:p>
    <w:p w:rsidR="00FC166A" w:rsidRDefault="00FC166A" w:rsidP="002A6084">
      <w:pPr>
        <w:spacing w:after="20" w:line="240" w:lineRule="auto"/>
        <w:jc w:val="both"/>
      </w:pPr>
    </w:p>
    <w:p w:rsidR="00F87278" w:rsidRDefault="00F87278" w:rsidP="002A6084">
      <w:pPr>
        <w:spacing w:after="20" w:line="240" w:lineRule="auto"/>
        <w:jc w:val="both"/>
      </w:pPr>
      <w:r>
        <w:t xml:space="preserve">Il est de la </w:t>
      </w:r>
      <w:r w:rsidRPr="00EC132D">
        <w:rPr>
          <w:b/>
        </w:rPr>
        <w:t>responsabilité collective</w:t>
      </w:r>
      <w:r>
        <w:t xml:space="preserve"> des</w:t>
      </w:r>
      <w:r w:rsidRPr="003C72BF">
        <w:t xml:space="preserve"> établissement</w:t>
      </w:r>
      <w:r>
        <w:t xml:space="preserve">s scolaires et du système éducatif de s’engager dans la voie de </w:t>
      </w:r>
      <w:r w:rsidRPr="00C31774">
        <w:rPr>
          <w:b/>
        </w:rPr>
        <w:t>l’éducation inclusive</w:t>
      </w:r>
      <w:r>
        <w:t xml:space="preserve">. </w:t>
      </w:r>
    </w:p>
    <w:p w:rsidR="00F87278" w:rsidRPr="00EC132D" w:rsidRDefault="00F87278" w:rsidP="002A6084">
      <w:pPr>
        <w:spacing w:after="20" w:line="240" w:lineRule="auto"/>
        <w:jc w:val="both"/>
        <w:rPr>
          <w:rFonts w:cs="Times New Roman"/>
        </w:rPr>
      </w:pPr>
      <w:r>
        <w:t>Cependant, elle</w:t>
      </w:r>
      <w:r w:rsidRPr="003C72BF">
        <w:t xml:space="preserve"> dépend </w:t>
      </w:r>
      <w:r>
        <w:t xml:space="preserve">aujourd’hui </w:t>
      </w:r>
      <w:r w:rsidRPr="003C72BF">
        <w:t xml:space="preserve">davantage de la mobilisation de parents et d'associations </w:t>
      </w:r>
      <w:r>
        <w:t xml:space="preserve">ou de </w:t>
      </w:r>
      <w:r w:rsidRPr="00A07EC8">
        <w:t>l’investissement personnel</w:t>
      </w:r>
      <w:r>
        <w:t xml:space="preserve"> </w:t>
      </w:r>
      <w:r w:rsidRPr="00A07EC8">
        <w:t xml:space="preserve">d’un enseignant ou d’un cadre administratif </w:t>
      </w:r>
      <w:r>
        <w:t>plutôt que d’une</w:t>
      </w:r>
      <w:r w:rsidRPr="003C72BF">
        <w:t xml:space="preserve"> volonté </w:t>
      </w:r>
      <w:r>
        <w:t>politique portée par l’</w:t>
      </w:r>
      <w:r w:rsidRPr="003C72BF">
        <w:t xml:space="preserve">institution. </w:t>
      </w:r>
    </w:p>
    <w:p w:rsidR="00F87278" w:rsidRPr="004B5E4F" w:rsidRDefault="00F87278" w:rsidP="002A6084">
      <w:pPr>
        <w:pStyle w:val="Corpsdutexte"/>
        <w:spacing w:before="0" w:after="20" w:line="240" w:lineRule="auto"/>
        <w:rPr>
          <w:rFonts w:asciiTheme="minorHAnsi" w:hAnsiTheme="minorHAnsi"/>
        </w:rPr>
      </w:pPr>
      <w:r>
        <w:rPr>
          <w:rFonts w:asciiTheme="minorHAnsi" w:hAnsiTheme="minorHAnsi"/>
        </w:rPr>
        <w:t xml:space="preserve">La </w:t>
      </w:r>
      <w:r w:rsidRPr="008C18C9">
        <w:rPr>
          <w:rFonts w:asciiTheme="minorHAnsi" w:hAnsiTheme="minorHAnsi"/>
          <w:b/>
        </w:rPr>
        <w:t>sensibilisation et la formation</w:t>
      </w:r>
      <w:r>
        <w:rPr>
          <w:rFonts w:asciiTheme="minorHAnsi" w:hAnsiTheme="minorHAnsi"/>
        </w:rPr>
        <w:t xml:space="preserve"> de l’ensemble des acteurs du système éducatif à l’approche inclusive est </w:t>
      </w:r>
      <w:r w:rsidR="006938ED">
        <w:rPr>
          <w:rFonts w:asciiTheme="minorHAnsi" w:hAnsiTheme="minorHAnsi"/>
        </w:rPr>
        <w:t>globalement</w:t>
      </w:r>
      <w:r>
        <w:rPr>
          <w:rFonts w:asciiTheme="minorHAnsi" w:hAnsiTheme="minorHAnsi"/>
        </w:rPr>
        <w:t xml:space="preserve"> insuffisante. </w:t>
      </w:r>
      <w:r w:rsidRPr="004B5E4F">
        <w:rPr>
          <w:rFonts w:asciiTheme="minorHAnsi" w:hAnsiTheme="minorHAnsi"/>
        </w:rPr>
        <w:t>Tous les enseignants, les personnels de direction et d’accompagnement doivent être impliqués, à tous les niveaux de la hiérarchie.</w:t>
      </w:r>
    </w:p>
    <w:p w:rsidR="00F87278" w:rsidRDefault="00F87278" w:rsidP="002A6084">
      <w:pPr>
        <w:spacing w:after="20" w:line="240" w:lineRule="auto"/>
        <w:jc w:val="both"/>
        <w:rPr>
          <w:rFonts w:cstheme="minorHAnsi"/>
        </w:rPr>
      </w:pPr>
    </w:p>
    <w:p w:rsidR="00F87278" w:rsidRDefault="00F87278" w:rsidP="002A6084">
      <w:pPr>
        <w:spacing w:after="20" w:line="240" w:lineRule="auto"/>
        <w:jc w:val="both"/>
        <w:rPr>
          <w:rFonts w:cstheme="minorHAnsi"/>
        </w:rPr>
      </w:pPr>
      <w:r>
        <w:rPr>
          <w:rFonts w:cstheme="minorHAnsi"/>
        </w:rPr>
        <w:t>L</w:t>
      </w:r>
      <w:r w:rsidRPr="00EC132D">
        <w:rPr>
          <w:rFonts w:cstheme="minorHAnsi"/>
        </w:rPr>
        <w:t>e recueil en France de</w:t>
      </w:r>
      <w:r w:rsidR="006938ED">
        <w:rPr>
          <w:rFonts w:cstheme="minorHAnsi"/>
        </w:rPr>
        <w:t xml:space="preserve"> données</w:t>
      </w:r>
      <w:r w:rsidRPr="00EC132D">
        <w:rPr>
          <w:rFonts w:cstheme="minorHAnsi"/>
        </w:rPr>
        <w:t xml:space="preserve"> statistiques relatives aux élèves handicapés est </w:t>
      </w:r>
      <w:r w:rsidRPr="00C31774">
        <w:rPr>
          <w:rFonts w:cstheme="minorHAnsi"/>
          <w:b/>
        </w:rPr>
        <w:t>complexe</w:t>
      </w:r>
      <w:r w:rsidRPr="00EC132D">
        <w:rPr>
          <w:rFonts w:cstheme="minorHAnsi"/>
        </w:rPr>
        <w:t xml:space="preserve"> et</w:t>
      </w:r>
      <w:r w:rsidR="000C4D03">
        <w:rPr>
          <w:rFonts w:cstheme="minorHAnsi"/>
        </w:rPr>
        <w:t xml:space="preserve"> non centralisé</w:t>
      </w:r>
      <w:r w:rsidR="006938ED">
        <w:rPr>
          <w:rFonts w:cstheme="minorHAnsi"/>
        </w:rPr>
        <w:t>, aussi</w:t>
      </w:r>
      <w:r w:rsidRPr="00EC132D">
        <w:rPr>
          <w:rFonts w:cstheme="minorHAnsi"/>
        </w:rPr>
        <w:t xml:space="preserve"> les chiffres dont nous disposons </w:t>
      </w:r>
      <w:r w:rsidR="00CA10D3">
        <w:rPr>
          <w:rFonts w:cstheme="minorHAnsi"/>
          <w:b/>
        </w:rPr>
        <w:t>manquent</w:t>
      </w:r>
      <w:r w:rsidR="006938ED">
        <w:rPr>
          <w:rFonts w:cstheme="minorHAnsi"/>
          <w:b/>
        </w:rPr>
        <w:t xml:space="preserve"> </w:t>
      </w:r>
      <w:r w:rsidRPr="00C31774">
        <w:rPr>
          <w:rFonts w:cstheme="minorHAnsi"/>
          <w:b/>
        </w:rPr>
        <w:t>de fiabilité</w:t>
      </w:r>
      <w:r w:rsidR="009956A7">
        <w:rPr>
          <w:rFonts w:cstheme="minorHAnsi"/>
        </w:rPr>
        <w:t>.</w:t>
      </w:r>
    </w:p>
    <w:p w:rsidR="00F87278" w:rsidRDefault="00F87278" w:rsidP="002A6084">
      <w:pPr>
        <w:spacing w:after="20" w:line="240" w:lineRule="auto"/>
        <w:ind w:left="708"/>
        <w:jc w:val="both"/>
        <w:rPr>
          <w:rFonts w:cstheme="minorHAnsi"/>
        </w:rPr>
      </w:pPr>
      <w:r w:rsidRPr="00B615E6">
        <w:rPr>
          <w:rFonts w:cstheme="minorHAnsi"/>
        </w:rPr>
        <w:t>En effet, ne</w:t>
      </w:r>
      <w:r w:rsidRPr="00D02101">
        <w:rPr>
          <w:rFonts w:cstheme="minorHAnsi"/>
        </w:rPr>
        <w:t xml:space="preserve"> sont qualifiés « d’élèves handicapés » que ceux qui relèvent d’un p</w:t>
      </w:r>
      <w:r w:rsidRPr="00FF410F">
        <w:rPr>
          <w:rFonts w:cstheme="minorHAnsi"/>
        </w:rPr>
        <w:t>rojet perso</w:t>
      </w:r>
      <w:r>
        <w:rPr>
          <w:rFonts w:cstheme="minorHAnsi"/>
        </w:rPr>
        <w:t xml:space="preserve">nnalisé de scolarisation (PPS). </w:t>
      </w:r>
    </w:p>
    <w:p w:rsidR="00F87278" w:rsidRPr="00C31774" w:rsidRDefault="006938ED" w:rsidP="002A6084">
      <w:pPr>
        <w:spacing w:after="20" w:line="240" w:lineRule="auto"/>
        <w:ind w:left="708"/>
        <w:jc w:val="both"/>
        <w:rPr>
          <w:rFonts w:cs="Times New Roman"/>
          <w:i/>
          <w:color w:val="4472C4" w:themeColor="accent5"/>
        </w:rPr>
      </w:pPr>
      <w:r>
        <w:rPr>
          <w:rFonts w:cstheme="minorHAnsi"/>
        </w:rPr>
        <w:t xml:space="preserve">Parmi les </w:t>
      </w:r>
      <w:r w:rsidR="00F87278">
        <w:rPr>
          <w:rFonts w:cstheme="minorHAnsi"/>
        </w:rPr>
        <w:t>élèv</w:t>
      </w:r>
      <w:r>
        <w:rPr>
          <w:rFonts w:cstheme="minorHAnsi"/>
        </w:rPr>
        <w:t xml:space="preserve">es en situation de handicap </w:t>
      </w:r>
      <w:r w:rsidR="00F87278">
        <w:rPr>
          <w:rFonts w:cstheme="minorHAnsi"/>
        </w:rPr>
        <w:t>comptabilisés comme éta</w:t>
      </w:r>
      <w:r>
        <w:rPr>
          <w:rFonts w:cstheme="minorHAnsi"/>
        </w:rPr>
        <w:t xml:space="preserve">nt scolarisés, </w:t>
      </w:r>
      <w:r w:rsidR="00124DBC">
        <w:rPr>
          <w:rFonts w:cstheme="minorHAnsi"/>
        </w:rPr>
        <w:t>certains</w:t>
      </w:r>
      <w:r w:rsidR="00F87278">
        <w:rPr>
          <w:rFonts w:cstheme="minorHAnsi"/>
        </w:rPr>
        <w:t xml:space="preserve"> sont scolarisés </w:t>
      </w:r>
      <w:r>
        <w:rPr>
          <w:rFonts w:cstheme="minorHAnsi"/>
        </w:rPr>
        <w:t>directement dans le</w:t>
      </w:r>
      <w:r w:rsidR="00F87278">
        <w:rPr>
          <w:rFonts w:cstheme="minorHAnsi"/>
        </w:rPr>
        <w:t xml:space="preserve"> milieu dit « ordinaire »</w:t>
      </w:r>
      <w:r w:rsidR="00124DBC">
        <w:rPr>
          <w:rFonts w:cstheme="minorHAnsi"/>
        </w:rPr>
        <w:t xml:space="preserve">, d’autres </w:t>
      </w:r>
      <w:r>
        <w:rPr>
          <w:rFonts w:cstheme="minorHAnsi"/>
        </w:rPr>
        <w:t>le sont par le biais de classes dans ou à l’extérieur de l’école</w:t>
      </w:r>
      <w:r w:rsidR="00F87278">
        <w:rPr>
          <w:rFonts w:cstheme="minorHAnsi"/>
        </w:rPr>
        <w:t xml:space="preserve"> – dont certains que quelques heures par semaine</w:t>
      </w:r>
      <w:r w:rsidR="00124DBC">
        <w:rPr>
          <w:rFonts w:cstheme="minorHAnsi"/>
        </w:rPr>
        <w:t>.</w:t>
      </w:r>
    </w:p>
    <w:p w:rsidR="000C4D03" w:rsidRDefault="000C4D03" w:rsidP="002A6084">
      <w:pPr>
        <w:spacing w:after="20" w:line="240" w:lineRule="auto"/>
        <w:jc w:val="both"/>
        <w:rPr>
          <w:rFonts w:cs="Times New Roman"/>
        </w:rPr>
      </w:pPr>
    </w:p>
    <w:p w:rsidR="00CE7881" w:rsidRDefault="00F87278" w:rsidP="002A6084">
      <w:pPr>
        <w:spacing w:after="20" w:line="240" w:lineRule="auto"/>
        <w:jc w:val="both"/>
        <w:rPr>
          <w:rFonts w:cs="Times New Roman"/>
          <w:b/>
        </w:rPr>
      </w:pPr>
      <w:r>
        <w:rPr>
          <w:rFonts w:cs="Times New Roman"/>
        </w:rPr>
        <w:t>Si l</w:t>
      </w:r>
      <w:r w:rsidRPr="005951BF">
        <w:rPr>
          <w:rFonts w:cs="Times New Roman"/>
        </w:rPr>
        <w:t xml:space="preserve">es </w:t>
      </w:r>
      <w:r w:rsidRPr="00C31774">
        <w:rPr>
          <w:rFonts w:cs="Times New Roman"/>
        </w:rPr>
        <w:t>données statistiques</w:t>
      </w:r>
      <w:r w:rsidRPr="005951BF">
        <w:rPr>
          <w:rFonts w:cs="Times New Roman"/>
        </w:rPr>
        <w:t xml:space="preserve"> </w:t>
      </w:r>
      <w:r w:rsidR="006938ED">
        <w:rPr>
          <w:rFonts w:cs="Times New Roman"/>
        </w:rPr>
        <w:t>publiées par le ministère de l’</w:t>
      </w:r>
      <w:r w:rsidR="00A43B18">
        <w:rPr>
          <w:rFonts w:cs="Times New Roman"/>
        </w:rPr>
        <w:t>Éducation</w:t>
      </w:r>
      <w:r w:rsidR="006938ED">
        <w:rPr>
          <w:rFonts w:cs="Times New Roman"/>
        </w:rPr>
        <w:t xml:space="preserve"> nationale</w:t>
      </w:r>
      <w:r w:rsidRPr="005951BF">
        <w:rPr>
          <w:rFonts w:cs="Times New Roman"/>
          <w:b/>
        </w:rPr>
        <w:t> </w:t>
      </w:r>
      <w:r w:rsidRPr="005951BF">
        <w:rPr>
          <w:rFonts w:cs="Times New Roman"/>
        </w:rPr>
        <w:t>montrent</w:t>
      </w:r>
      <w:r>
        <w:rPr>
          <w:rFonts w:cs="Times New Roman"/>
        </w:rPr>
        <w:t xml:space="preserve"> une</w:t>
      </w:r>
      <w:r w:rsidRPr="005951BF">
        <w:rPr>
          <w:rFonts w:cs="Times New Roman"/>
        </w:rPr>
        <w:t xml:space="preserve"> </w:t>
      </w:r>
      <w:r w:rsidRPr="00184F11">
        <w:rPr>
          <w:rFonts w:cs="Times New Roman"/>
        </w:rPr>
        <w:t xml:space="preserve">progression de la scolarisation en milieu ordinaire </w:t>
      </w:r>
      <w:r>
        <w:rPr>
          <w:rFonts w:cs="Times New Roman"/>
        </w:rPr>
        <w:t xml:space="preserve">– le </w:t>
      </w:r>
      <w:r w:rsidRPr="005951BF">
        <w:rPr>
          <w:rFonts w:cs="Times New Roman"/>
        </w:rPr>
        <w:t xml:space="preserve">nombre d’élèves </w:t>
      </w:r>
      <w:r>
        <w:rPr>
          <w:rFonts w:cs="Times New Roman"/>
        </w:rPr>
        <w:t xml:space="preserve">scolarisés </w:t>
      </w:r>
      <w:r w:rsidR="0081482E">
        <w:rPr>
          <w:rFonts w:cs="Times New Roman"/>
        </w:rPr>
        <w:t>à la rentrée 2019</w:t>
      </w:r>
      <w:r w:rsidR="006938ED">
        <w:rPr>
          <w:rFonts w:cs="Times New Roman"/>
        </w:rPr>
        <w:t xml:space="preserve"> </w:t>
      </w:r>
      <w:r>
        <w:rPr>
          <w:rFonts w:cs="Times New Roman"/>
        </w:rPr>
        <w:t>serait de</w:t>
      </w:r>
      <w:r w:rsidR="00124DBC">
        <w:rPr>
          <w:rFonts w:cs="Times New Roman"/>
        </w:rPr>
        <w:t xml:space="preserve"> de 361 5</w:t>
      </w:r>
      <w:r w:rsidR="00E01BDE">
        <w:rPr>
          <w:rFonts w:cs="Times New Roman"/>
        </w:rPr>
        <w:t>00</w:t>
      </w:r>
      <w:r w:rsidR="00124DBC">
        <w:rPr>
          <w:rFonts w:cs="Times New Roman"/>
        </w:rPr>
        <w:t xml:space="preserve"> en milieu ordinaire et 80 051 en </w:t>
      </w:r>
      <w:r w:rsidR="00654B03">
        <w:rPr>
          <w:rFonts w:cs="Times New Roman"/>
        </w:rPr>
        <w:t>ESMS</w:t>
      </w:r>
      <w:r w:rsidR="00124DBC">
        <w:rPr>
          <w:rStyle w:val="EndnoteReference"/>
          <w:rFonts w:cs="Times New Roman"/>
        </w:rPr>
        <w:endnoteReference w:id="44"/>
      </w:r>
      <w:r w:rsidR="00124DBC">
        <w:rPr>
          <w:rFonts w:cs="Times New Roman"/>
        </w:rPr>
        <w:t xml:space="preserve">  </w:t>
      </w:r>
      <w:r w:rsidR="00E01BDE">
        <w:rPr>
          <w:rFonts w:cs="Times New Roman"/>
        </w:rPr>
        <w:t>–</w:t>
      </w:r>
      <w:r>
        <w:rPr>
          <w:rFonts w:cs="Times New Roman"/>
        </w:rPr>
        <w:t xml:space="preserve"> le </w:t>
      </w:r>
      <w:r w:rsidRPr="00C31774">
        <w:rPr>
          <w:rFonts w:cs="Times New Roman"/>
          <w:b/>
        </w:rPr>
        <w:t>constat est loin d’être satisfaisant</w:t>
      </w:r>
      <w:r w:rsidR="00124DBC">
        <w:rPr>
          <w:rFonts w:cs="Times New Roman"/>
          <w:b/>
        </w:rPr>
        <w:t>.</w:t>
      </w:r>
      <w:r w:rsidR="006938ED">
        <w:rPr>
          <w:rFonts w:cs="Times New Roman"/>
          <w:b/>
        </w:rPr>
        <w:t xml:space="preserve"> </w:t>
      </w:r>
    </w:p>
    <w:p w:rsidR="00F87278" w:rsidRDefault="006938ED" w:rsidP="002A6084">
      <w:pPr>
        <w:spacing w:after="20" w:line="240" w:lineRule="auto"/>
        <w:jc w:val="both"/>
        <w:rPr>
          <w:rFonts w:cs="Times New Roman"/>
        </w:rPr>
      </w:pPr>
      <w:r w:rsidRPr="00124DBC">
        <w:rPr>
          <w:rFonts w:cs="Times New Roman"/>
        </w:rPr>
        <w:t>Il</w:t>
      </w:r>
      <w:r>
        <w:rPr>
          <w:rFonts w:cs="Times New Roman"/>
        </w:rPr>
        <w:t xml:space="preserve"> est possible de</w:t>
      </w:r>
      <w:r w:rsidR="00F87278">
        <w:rPr>
          <w:rFonts w:cs="Times New Roman"/>
        </w:rPr>
        <w:t xml:space="preserve"> déduire </w:t>
      </w:r>
      <w:r>
        <w:rPr>
          <w:rFonts w:cs="Times New Roman"/>
        </w:rPr>
        <w:t xml:space="preserve">des données disponibles </w:t>
      </w:r>
      <w:r w:rsidR="000C4D03">
        <w:rPr>
          <w:rFonts w:cs="Times New Roman"/>
        </w:rPr>
        <w:t xml:space="preserve">: </w:t>
      </w:r>
    </w:p>
    <w:p w:rsidR="00CE7881" w:rsidRPr="00CE7881" w:rsidRDefault="00CE7881" w:rsidP="002A6084">
      <w:pPr>
        <w:spacing w:after="20" w:line="240" w:lineRule="auto"/>
        <w:jc w:val="both"/>
        <w:rPr>
          <w:rFonts w:cs="Times New Roman"/>
          <w:sz w:val="16"/>
          <w:szCs w:val="16"/>
        </w:rPr>
      </w:pPr>
    </w:p>
    <w:p w:rsidR="00F87278" w:rsidRDefault="00F87278" w:rsidP="002A6084">
      <w:pPr>
        <w:pStyle w:val="ListParagraph"/>
        <w:numPr>
          <w:ilvl w:val="0"/>
          <w:numId w:val="14"/>
        </w:numPr>
        <w:spacing w:after="20" w:line="240" w:lineRule="auto"/>
        <w:jc w:val="both"/>
        <w:rPr>
          <w:rFonts w:cs="Times New Roman"/>
        </w:rPr>
      </w:pPr>
      <w:r>
        <w:rPr>
          <w:rFonts w:cs="Times New Roman"/>
          <w:b/>
        </w:rPr>
        <w:t>U</w:t>
      </w:r>
      <w:r w:rsidRPr="006B728C">
        <w:rPr>
          <w:rFonts w:cs="Times New Roman"/>
          <w:b/>
        </w:rPr>
        <w:t>ne présence de moins en moins forte</w:t>
      </w:r>
      <w:r w:rsidRPr="00184F11">
        <w:rPr>
          <w:rFonts w:cs="Times New Roman"/>
        </w:rPr>
        <w:t xml:space="preserve"> des élèves en situation de handicap à mesure que le parcours de formation progresse</w:t>
      </w:r>
      <w:r>
        <w:rPr>
          <w:rFonts w:cs="Times New Roman"/>
        </w:rPr>
        <w:t xml:space="preserve"> – lors du passage du primaire au secondaire et du secondaire aux études supérieures.</w:t>
      </w:r>
    </w:p>
    <w:p w:rsidR="00F87278" w:rsidRPr="00CE7881" w:rsidRDefault="00F87278" w:rsidP="002A6084">
      <w:pPr>
        <w:pStyle w:val="ListParagraph"/>
        <w:spacing w:after="20" w:line="240" w:lineRule="auto"/>
        <w:jc w:val="both"/>
        <w:rPr>
          <w:rFonts w:cs="Times New Roman"/>
          <w:sz w:val="16"/>
          <w:szCs w:val="16"/>
        </w:rPr>
      </w:pPr>
    </w:p>
    <w:p w:rsidR="00F87278" w:rsidRDefault="00F87278" w:rsidP="002A6084">
      <w:pPr>
        <w:pStyle w:val="ListParagraph"/>
        <w:numPr>
          <w:ilvl w:val="0"/>
          <w:numId w:val="13"/>
        </w:numPr>
        <w:spacing w:after="20" w:line="240" w:lineRule="auto"/>
        <w:ind w:left="714" w:hanging="357"/>
        <w:contextualSpacing w:val="0"/>
        <w:jc w:val="both"/>
        <w:rPr>
          <w:rFonts w:cs="Times New Roman"/>
        </w:rPr>
      </w:pPr>
      <w:r>
        <w:rPr>
          <w:rFonts w:cs="Times New Roman"/>
          <w:color w:val="000000"/>
        </w:rPr>
        <w:t xml:space="preserve">Des </w:t>
      </w:r>
      <w:r>
        <w:rPr>
          <w:rFonts w:cstheme="minorHAnsi"/>
        </w:rPr>
        <w:t xml:space="preserve">difficultés </w:t>
      </w:r>
      <w:r w:rsidR="006938ED">
        <w:rPr>
          <w:rFonts w:cstheme="minorHAnsi"/>
        </w:rPr>
        <w:t>persistantes</w:t>
      </w:r>
      <w:r>
        <w:rPr>
          <w:rFonts w:cstheme="minorHAnsi"/>
        </w:rPr>
        <w:t xml:space="preserve"> </w:t>
      </w:r>
      <w:r w:rsidRPr="00016A3A">
        <w:rPr>
          <w:rFonts w:cstheme="minorHAnsi"/>
          <w:b/>
        </w:rPr>
        <w:t>pour l’accès au milieu scolaire ordinaire</w:t>
      </w:r>
      <w:r>
        <w:rPr>
          <w:rFonts w:cstheme="minorHAnsi"/>
        </w:rPr>
        <w:t xml:space="preserve">, </w:t>
      </w:r>
      <w:r>
        <w:rPr>
          <w:rFonts w:cs="Times New Roman"/>
          <w:color w:val="000000"/>
        </w:rPr>
        <w:t>l</w:t>
      </w:r>
      <w:r w:rsidRPr="005951BF">
        <w:rPr>
          <w:rFonts w:cs="Times New Roman"/>
          <w:color w:val="000000"/>
        </w:rPr>
        <w:t>e fonctionnement actuel des institutions rest</w:t>
      </w:r>
      <w:r>
        <w:rPr>
          <w:rFonts w:cs="Times New Roman"/>
          <w:color w:val="000000"/>
        </w:rPr>
        <w:t>ant</w:t>
      </w:r>
      <w:r w:rsidRPr="005951BF">
        <w:rPr>
          <w:rFonts w:cs="Times New Roman"/>
          <w:color w:val="000000"/>
        </w:rPr>
        <w:t xml:space="preserve"> fortement marqué par l’instauration historique de</w:t>
      </w:r>
      <w:r w:rsidRPr="00E548FB">
        <w:rPr>
          <w:rFonts w:cs="Times New Roman"/>
          <w:color w:val="000000"/>
        </w:rPr>
        <w:t xml:space="preserve"> </w:t>
      </w:r>
      <w:r w:rsidRPr="006B728C">
        <w:rPr>
          <w:rFonts w:cs="Times New Roman"/>
          <w:b/>
          <w:color w:val="000000"/>
        </w:rPr>
        <w:t>deux voies éducatives différentes</w:t>
      </w:r>
      <w:r w:rsidRPr="005951BF">
        <w:rPr>
          <w:rFonts w:cs="Times New Roman"/>
          <w:color w:val="000000"/>
        </w:rPr>
        <w:t xml:space="preserve"> : </w:t>
      </w:r>
      <w:r>
        <w:rPr>
          <w:rFonts w:cs="Times New Roman"/>
          <w:color w:val="000000"/>
        </w:rPr>
        <w:t>l’</w:t>
      </w:r>
      <w:r w:rsidRPr="005951BF">
        <w:rPr>
          <w:rFonts w:cs="Times New Roman"/>
          <w:color w:val="000000"/>
        </w:rPr>
        <w:t xml:space="preserve">une en milieu scolaire </w:t>
      </w:r>
      <w:r>
        <w:rPr>
          <w:rFonts w:cs="Times New Roman"/>
          <w:color w:val="000000"/>
        </w:rPr>
        <w:t xml:space="preserve">ordinaire </w:t>
      </w:r>
      <w:r w:rsidRPr="005951BF">
        <w:rPr>
          <w:rFonts w:cs="Times New Roman"/>
          <w:color w:val="000000"/>
        </w:rPr>
        <w:t xml:space="preserve">et </w:t>
      </w:r>
      <w:r>
        <w:rPr>
          <w:rFonts w:cs="Times New Roman"/>
          <w:color w:val="000000"/>
        </w:rPr>
        <w:t>l’autre</w:t>
      </w:r>
      <w:r w:rsidRPr="005951BF">
        <w:rPr>
          <w:rFonts w:cs="Times New Roman"/>
          <w:color w:val="000000"/>
        </w:rPr>
        <w:t xml:space="preserve"> en milieu médico-social, particulièrement pour ceux </w:t>
      </w:r>
      <w:r w:rsidRPr="006938ED">
        <w:rPr>
          <w:rFonts w:cs="Times New Roman"/>
        </w:rPr>
        <w:t>qui présentent une déficience intellectuelle. Malgré des efforts récents comme l</w:t>
      </w:r>
      <w:r w:rsidR="005A1ACC" w:rsidRPr="006938ED">
        <w:rPr>
          <w:rFonts w:cs="Times New Roman"/>
        </w:rPr>
        <w:t xml:space="preserve">a création de PPS </w:t>
      </w:r>
      <w:r w:rsidRPr="006938ED">
        <w:rPr>
          <w:rFonts w:cs="Times New Roman"/>
        </w:rPr>
        <w:t xml:space="preserve">et </w:t>
      </w:r>
      <w:r w:rsidR="003A36DE">
        <w:rPr>
          <w:rFonts w:cs="Times New Roman"/>
        </w:rPr>
        <w:t>plus de 90 000</w:t>
      </w:r>
      <w:r w:rsidR="005A1ACC" w:rsidRPr="006938ED">
        <w:rPr>
          <w:rFonts w:cs="Times New Roman"/>
        </w:rPr>
        <w:t xml:space="preserve"> accompagnants d’élèves en situation de handicap (AESH) pour </w:t>
      </w:r>
      <w:r w:rsidR="005A1ACC">
        <w:rPr>
          <w:rFonts w:cs="Times New Roman"/>
        </w:rPr>
        <w:t xml:space="preserve">la rentrée </w:t>
      </w:r>
      <w:r w:rsidR="003A36DE">
        <w:rPr>
          <w:rFonts w:cs="Times New Roman"/>
        </w:rPr>
        <w:t>2019</w:t>
      </w:r>
      <w:r w:rsidR="005A1ACC">
        <w:rPr>
          <w:rStyle w:val="EndnoteReference"/>
          <w:rFonts w:cs="Times New Roman"/>
        </w:rPr>
        <w:endnoteReference w:id="45"/>
      </w:r>
      <w:r w:rsidR="005A1ACC" w:rsidRPr="005A1ACC">
        <w:rPr>
          <w:rFonts w:cs="Times New Roman"/>
        </w:rPr>
        <w:t xml:space="preserve">, </w:t>
      </w:r>
      <w:r w:rsidRPr="005A1ACC">
        <w:rPr>
          <w:rFonts w:cs="Times New Roman"/>
        </w:rPr>
        <w:t xml:space="preserve">ou </w:t>
      </w:r>
      <w:r w:rsidRPr="005951BF">
        <w:rPr>
          <w:rFonts w:cs="Times New Roman"/>
        </w:rPr>
        <w:t xml:space="preserve">la </w:t>
      </w:r>
      <w:r w:rsidR="00CE7881">
        <w:rPr>
          <w:rFonts w:cs="Times New Roman"/>
        </w:rPr>
        <w:t>création</w:t>
      </w:r>
      <w:r>
        <w:rPr>
          <w:rFonts w:cs="Times New Roman"/>
        </w:rPr>
        <w:t xml:space="preserve"> d’unités d’enseignement</w:t>
      </w:r>
      <w:r w:rsidR="00AE43CA">
        <w:rPr>
          <w:rFonts w:cs="Times New Roman"/>
        </w:rPr>
        <w:t xml:space="preserve"> au sein d’</w:t>
      </w:r>
      <w:r w:rsidRPr="005951BF">
        <w:rPr>
          <w:rFonts w:cs="Times New Roman"/>
        </w:rPr>
        <w:t>établissement</w:t>
      </w:r>
      <w:r w:rsidR="00AE43CA">
        <w:rPr>
          <w:rFonts w:cs="Times New Roman"/>
        </w:rPr>
        <w:t>s</w:t>
      </w:r>
      <w:r w:rsidRPr="005951BF">
        <w:rPr>
          <w:rFonts w:cs="Times New Roman"/>
        </w:rPr>
        <w:t xml:space="preserve"> scolaire</w:t>
      </w:r>
      <w:r w:rsidR="00AE43CA">
        <w:rPr>
          <w:rFonts w:cs="Times New Roman"/>
        </w:rPr>
        <w:t>s</w:t>
      </w:r>
      <w:r w:rsidRPr="005951BF">
        <w:rPr>
          <w:rFonts w:cs="Times New Roman"/>
        </w:rPr>
        <w:t xml:space="preserve"> ordinaire</w:t>
      </w:r>
      <w:r w:rsidR="00AE43CA">
        <w:rPr>
          <w:rFonts w:cs="Times New Roman"/>
        </w:rPr>
        <w:t>s</w:t>
      </w:r>
      <w:r>
        <w:rPr>
          <w:rFonts w:cs="Times New Roman"/>
        </w:rPr>
        <w:t xml:space="preserve"> plutôt que</w:t>
      </w:r>
      <w:r w:rsidRPr="005951BF">
        <w:rPr>
          <w:rFonts w:cs="Times New Roman"/>
        </w:rPr>
        <w:t xml:space="preserve"> dans </w:t>
      </w:r>
      <w:r w:rsidR="00AE43CA">
        <w:rPr>
          <w:rFonts w:cs="Times New Roman"/>
        </w:rPr>
        <w:t>des</w:t>
      </w:r>
      <w:r w:rsidRPr="005951BF">
        <w:rPr>
          <w:rFonts w:cs="Times New Roman"/>
        </w:rPr>
        <w:t xml:space="preserve"> </w:t>
      </w:r>
      <w:r w:rsidR="00AE43CA">
        <w:rPr>
          <w:rFonts w:cs="Times New Roman"/>
        </w:rPr>
        <w:t>ESMS</w:t>
      </w:r>
      <w:r>
        <w:rPr>
          <w:rFonts w:cs="Times New Roman"/>
        </w:rPr>
        <w:t>, l</w:t>
      </w:r>
      <w:r w:rsidRPr="005951BF">
        <w:rPr>
          <w:rFonts w:cs="Times New Roman"/>
        </w:rPr>
        <w:t xml:space="preserve">es effectifs d’enfants et adolescents dans les </w:t>
      </w:r>
      <w:r w:rsidR="00AE43CA">
        <w:rPr>
          <w:rFonts w:cs="Times New Roman"/>
        </w:rPr>
        <w:t>ESMS ne</w:t>
      </w:r>
      <w:r w:rsidRPr="005951BF">
        <w:rPr>
          <w:rFonts w:cs="Times New Roman"/>
        </w:rPr>
        <w:t xml:space="preserve"> se réduisent</w:t>
      </w:r>
      <w:r>
        <w:rPr>
          <w:rFonts w:cs="Times New Roman"/>
        </w:rPr>
        <w:t xml:space="preserve"> que faiblement </w:t>
      </w:r>
      <w:r w:rsidRPr="005951BF">
        <w:rPr>
          <w:rFonts w:cs="Times New Roman"/>
        </w:rPr>
        <w:t xml:space="preserve">(réticences </w:t>
      </w:r>
      <w:r>
        <w:rPr>
          <w:rFonts w:cs="Times New Roman"/>
        </w:rPr>
        <w:t>du système éducatif, insuffisance d</w:t>
      </w:r>
      <w:r w:rsidRPr="005951BF">
        <w:rPr>
          <w:rFonts w:cs="Times New Roman"/>
        </w:rPr>
        <w:t>e</w:t>
      </w:r>
      <w:r>
        <w:rPr>
          <w:rFonts w:cs="Times New Roman"/>
        </w:rPr>
        <w:t>s</w:t>
      </w:r>
      <w:r w:rsidRPr="005951BF">
        <w:rPr>
          <w:rFonts w:cs="Times New Roman"/>
        </w:rPr>
        <w:t xml:space="preserve"> services d’appui, de</w:t>
      </w:r>
      <w:r>
        <w:rPr>
          <w:rFonts w:cs="Times New Roman"/>
        </w:rPr>
        <w:t>s</w:t>
      </w:r>
      <w:r w:rsidRPr="005951BF">
        <w:rPr>
          <w:rFonts w:cs="Times New Roman"/>
        </w:rPr>
        <w:t xml:space="preserve"> centres de ressources etc.)</w:t>
      </w:r>
    </w:p>
    <w:p w:rsidR="00F87278" w:rsidRPr="00CE7881" w:rsidRDefault="00F87278" w:rsidP="002A6084">
      <w:pPr>
        <w:spacing w:after="20" w:line="240" w:lineRule="auto"/>
        <w:jc w:val="both"/>
        <w:rPr>
          <w:rFonts w:cs="Times New Roman"/>
          <w:sz w:val="16"/>
          <w:szCs w:val="16"/>
        </w:rPr>
      </w:pPr>
    </w:p>
    <w:p w:rsidR="00F87278" w:rsidRPr="00DB0214" w:rsidRDefault="00F87278" w:rsidP="002A6084">
      <w:pPr>
        <w:pStyle w:val="ListParagraph"/>
        <w:numPr>
          <w:ilvl w:val="0"/>
          <w:numId w:val="13"/>
        </w:numPr>
        <w:spacing w:after="20" w:line="240" w:lineRule="auto"/>
        <w:ind w:left="714" w:hanging="357"/>
        <w:contextualSpacing w:val="0"/>
        <w:jc w:val="both"/>
        <w:rPr>
          <w:rFonts w:cs="Times New Roman"/>
          <w:i/>
          <w:color w:val="4472C4" w:themeColor="accent5"/>
        </w:rPr>
      </w:pPr>
      <w:r w:rsidRPr="00B27CC8">
        <w:rPr>
          <w:rFonts w:cs="Times New Roman"/>
          <w:color w:val="000000" w:themeColor="text1"/>
        </w:rPr>
        <w:t xml:space="preserve">Le nombre d’enfants en situation de handicap </w:t>
      </w:r>
      <w:r w:rsidR="00271233" w:rsidRPr="00B27CC8">
        <w:rPr>
          <w:rFonts w:cstheme="minorHAnsi"/>
          <w:color w:val="000000" w:themeColor="text1"/>
        </w:rPr>
        <w:t>dits</w:t>
      </w:r>
      <w:r w:rsidR="00271233" w:rsidRPr="00B27CC8">
        <w:rPr>
          <w:rFonts w:cstheme="minorHAnsi"/>
          <w:b/>
          <w:color w:val="000000" w:themeColor="text1"/>
        </w:rPr>
        <w:t xml:space="preserve"> « sans solution »</w:t>
      </w:r>
      <w:r w:rsidR="00271233" w:rsidRPr="00B27CC8">
        <w:rPr>
          <w:rFonts w:cstheme="minorHAnsi"/>
          <w:color w:val="000000" w:themeColor="text1"/>
        </w:rPr>
        <w:t xml:space="preserve">, soit </w:t>
      </w:r>
      <w:r w:rsidRPr="00B27CC8">
        <w:rPr>
          <w:rFonts w:cs="Times New Roman"/>
          <w:color w:val="000000" w:themeColor="text1"/>
        </w:rPr>
        <w:t xml:space="preserve">non scolarisés, voire </w:t>
      </w:r>
      <w:r w:rsidRPr="003C72BF">
        <w:rPr>
          <w:rFonts w:cs="Times New Roman"/>
        </w:rPr>
        <w:t>accueillis nulle part</w:t>
      </w:r>
      <w:r>
        <w:rPr>
          <w:rFonts w:cs="Times New Roman"/>
        </w:rPr>
        <w:t>, ne diminue pas.</w:t>
      </w:r>
      <w:r w:rsidR="00271233">
        <w:rPr>
          <w:rFonts w:cs="Times New Roman"/>
        </w:rPr>
        <w:t xml:space="preserve"> Ils seraient 20 000 dans cette situation en 2015</w:t>
      </w:r>
      <w:r w:rsidR="00271233">
        <w:rPr>
          <w:rStyle w:val="EndnoteReference"/>
          <w:rFonts w:cs="Times New Roman"/>
        </w:rPr>
        <w:endnoteReference w:id="46"/>
      </w:r>
      <w:r w:rsidR="00271233">
        <w:rPr>
          <w:rFonts w:cs="Times New Roman"/>
        </w:rPr>
        <w:t>.</w:t>
      </w:r>
    </w:p>
    <w:p w:rsidR="00F87278" w:rsidRPr="00CE7881" w:rsidRDefault="00F87278" w:rsidP="002A6084">
      <w:pPr>
        <w:spacing w:after="20" w:line="240" w:lineRule="auto"/>
        <w:jc w:val="both"/>
        <w:rPr>
          <w:rFonts w:cs="Times New Roman"/>
          <w:color w:val="4472C4" w:themeColor="accent5"/>
          <w:sz w:val="16"/>
          <w:szCs w:val="16"/>
        </w:rPr>
      </w:pPr>
      <w:r w:rsidRPr="00DB0214">
        <w:rPr>
          <w:rFonts w:cs="Times New Roman"/>
          <w:i/>
          <w:color w:val="4472C4" w:themeColor="accent5"/>
        </w:rPr>
        <w:t xml:space="preserve"> </w:t>
      </w:r>
    </w:p>
    <w:p w:rsidR="00F87278" w:rsidRPr="003A36DE" w:rsidRDefault="00F87278" w:rsidP="002A6084">
      <w:pPr>
        <w:pStyle w:val="Corpsdutexte"/>
        <w:numPr>
          <w:ilvl w:val="0"/>
          <w:numId w:val="13"/>
        </w:numPr>
        <w:spacing w:before="0" w:after="20" w:line="240" w:lineRule="auto"/>
        <w:rPr>
          <w:rFonts w:asciiTheme="minorHAnsi" w:hAnsiTheme="minorHAnsi"/>
        </w:rPr>
      </w:pPr>
      <w:r>
        <w:rPr>
          <w:rFonts w:asciiTheme="minorHAnsi" w:hAnsiTheme="minorHAnsi"/>
        </w:rPr>
        <w:t xml:space="preserve">L’augmentation du nombre de </w:t>
      </w:r>
      <w:r w:rsidRPr="00C31774">
        <w:rPr>
          <w:rFonts w:asciiTheme="minorHAnsi" w:hAnsiTheme="minorHAnsi"/>
          <w:b/>
        </w:rPr>
        <w:t>départs non souhaités vers la Belgique</w:t>
      </w:r>
      <w:r>
        <w:rPr>
          <w:rFonts w:asciiTheme="minorHAnsi" w:hAnsiTheme="minorHAnsi"/>
        </w:rPr>
        <w:t xml:space="preserve"> d’enfants présentant le plus souvent des </w:t>
      </w:r>
      <w:r w:rsidRPr="005951BF">
        <w:rPr>
          <w:rFonts w:asciiTheme="minorHAnsi" w:hAnsiTheme="minorHAnsi"/>
        </w:rPr>
        <w:t>troubles intellectuels ou autistiques</w:t>
      </w:r>
      <w:r>
        <w:rPr>
          <w:rFonts w:asciiTheme="minorHAnsi" w:hAnsiTheme="minorHAnsi"/>
        </w:rPr>
        <w:t xml:space="preserve">, </w:t>
      </w:r>
      <w:r w:rsidR="003A36DE">
        <w:rPr>
          <w:rFonts w:asciiTheme="minorHAnsi" w:hAnsiTheme="minorHAnsi"/>
        </w:rPr>
        <w:t>ce qui constitue</w:t>
      </w:r>
      <w:r>
        <w:rPr>
          <w:rFonts w:asciiTheme="minorHAnsi" w:hAnsiTheme="minorHAnsi"/>
        </w:rPr>
        <w:t xml:space="preserve"> pour la </w:t>
      </w:r>
      <w:r w:rsidRPr="00E548FB">
        <w:rPr>
          <w:rFonts w:asciiTheme="minorHAnsi" w:hAnsiTheme="minorHAnsi"/>
        </w:rPr>
        <w:t>majorité d’entre eux un «</w:t>
      </w:r>
      <w:r>
        <w:rPr>
          <w:rFonts w:asciiTheme="minorHAnsi" w:hAnsiTheme="minorHAnsi"/>
        </w:rPr>
        <w:t xml:space="preserve"> </w:t>
      </w:r>
      <w:r w:rsidRPr="00E548FB">
        <w:rPr>
          <w:rFonts w:asciiTheme="minorHAnsi" w:hAnsiTheme="minorHAnsi"/>
        </w:rPr>
        <w:t>exil » traumatisant lié à l’absence ou à l’insuffisance de l’offre d’accompagnement en France. </w:t>
      </w:r>
    </w:p>
    <w:tbl>
      <w:tblPr>
        <w:tblStyle w:val="TableauGrille1Clair-Accentuation11"/>
        <w:tblW w:w="0" w:type="auto"/>
        <w:tblLook w:val="04A0" w:firstRow="1" w:lastRow="0" w:firstColumn="1" w:lastColumn="0" w:noHBand="0" w:noVBand="1"/>
      </w:tblPr>
      <w:tblGrid>
        <w:gridCol w:w="9062"/>
      </w:tblGrid>
      <w:tr w:rsidR="00F87278" w:rsidTr="001227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F2F7FC"/>
          </w:tcPr>
          <w:p w:rsidR="00F87278" w:rsidRPr="003A36DE" w:rsidRDefault="00F87278" w:rsidP="0012271D">
            <w:pPr>
              <w:pStyle w:val="Heading7"/>
              <w:spacing w:before="0" w:after="20" w:line="259" w:lineRule="auto"/>
              <w:jc w:val="both"/>
              <w:outlineLvl w:val="6"/>
              <w:rPr>
                <w:i w:val="0"/>
              </w:rPr>
            </w:pPr>
            <w:bookmarkStart w:id="57" w:name="_Toc20128138"/>
            <w:r w:rsidRPr="003A36DE">
              <w:rPr>
                <w:rStyle w:val="Emphasis"/>
                <w:i/>
              </w:rPr>
              <w:t>Recommandations</w:t>
            </w:r>
            <w:bookmarkEnd w:id="57"/>
            <w:r w:rsidRPr="003A36DE">
              <w:rPr>
                <w:i w:val="0"/>
              </w:rPr>
              <w:t> </w:t>
            </w:r>
          </w:p>
          <w:p w:rsidR="003A36DE" w:rsidRPr="003A36DE" w:rsidRDefault="003A36DE" w:rsidP="003A36DE">
            <w:pPr>
              <w:rPr>
                <w:lang w:eastAsia="en-GB"/>
              </w:rPr>
            </w:pPr>
          </w:p>
          <w:p w:rsidR="00F87278" w:rsidRPr="008C18C9" w:rsidRDefault="00F87278" w:rsidP="00027EF9">
            <w:pPr>
              <w:pStyle w:val="ListParagraph"/>
              <w:numPr>
                <w:ilvl w:val="0"/>
                <w:numId w:val="15"/>
              </w:numPr>
              <w:spacing w:after="20"/>
              <w:jc w:val="both"/>
              <w:rPr>
                <w:lang w:eastAsia="en-GB"/>
              </w:rPr>
            </w:pPr>
            <w:r>
              <w:t>Affirmer une volonté politique en</w:t>
            </w:r>
            <w:r w:rsidR="0012271D">
              <w:t xml:space="preserve"> </w:t>
            </w:r>
            <w:r>
              <w:t>imposant</w:t>
            </w:r>
            <w:r w:rsidRPr="008C18C9">
              <w:t xml:space="preserve"> l’éducation inclusive comme le principe directeur du système éducatif français. </w:t>
            </w:r>
          </w:p>
          <w:p w:rsidR="00F87278" w:rsidRPr="00591F1A" w:rsidRDefault="00F87278" w:rsidP="00027EF9">
            <w:pPr>
              <w:pStyle w:val="ListParagraph"/>
              <w:widowControl w:val="0"/>
              <w:numPr>
                <w:ilvl w:val="0"/>
                <w:numId w:val="5"/>
              </w:numPr>
              <w:autoSpaceDE w:val="0"/>
              <w:autoSpaceDN w:val="0"/>
              <w:spacing w:after="20" w:line="259" w:lineRule="auto"/>
              <w:ind w:right="113"/>
              <w:contextualSpacing w:val="0"/>
              <w:jc w:val="both"/>
            </w:pPr>
            <w:r w:rsidRPr="00591F1A">
              <w:t xml:space="preserve">Définir et appliquer systématiquement des </w:t>
            </w:r>
            <w:r>
              <w:t xml:space="preserve">PPS </w:t>
            </w:r>
            <w:r w:rsidRPr="00591F1A">
              <w:t>dans une logique de parcours de formation à long terme qui implique nécessairement l’attention au devenir de la personne, quel que soit son lie</w:t>
            </w:r>
            <w:r>
              <w:t xml:space="preserve">u d’accueil et de scolarisation, et </w:t>
            </w:r>
            <w:r w:rsidRPr="00591F1A">
              <w:t xml:space="preserve">qui doit se prolonger par des </w:t>
            </w:r>
            <w:r>
              <w:t>« </w:t>
            </w:r>
            <w:r w:rsidRPr="00591F1A">
              <w:t>projets personnalisés de professionnalisation</w:t>
            </w:r>
            <w:r>
              <w:t> »</w:t>
            </w:r>
            <w:r w:rsidRPr="00591F1A">
              <w:t xml:space="preserve">. </w:t>
            </w:r>
          </w:p>
          <w:p w:rsidR="00F87278" w:rsidRPr="00591F1A" w:rsidRDefault="00F87278" w:rsidP="00027EF9">
            <w:pPr>
              <w:pStyle w:val="ListParagraph"/>
              <w:widowControl w:val="0"/>
              <w:numPr>
                <w:ilvl w:val="0"/>
                <w:numId w:val="5"/>
              </w:numPr>
              <w:autoSpaceDE w:val="0"/>
              <w:autoSpaceDN w:val="0"/>
              <w:spacing w:after="20" w:line="259" w:lineRule="auto"/>
              <w:ind w:right="113"/>
              <w:contextualSpacing w:val="0"/>
              <w:jc w:val="both"/>
            </w:pPr>
            <w:r w:rsidRPr="00591F1A">
              <w:t>Mettre en place dans les</w:t>
            </w:r>
            <w:r w:rsidR="00D5146C">
              <w:rPr>
                <w:rStyle w:val="Heading1Char"/>
              </w:rPr>
              <w:t xml:space="preserve"> </w:t>
            </w:r>
            <w:r w:rsidR="00D5146C">
              <w:rPr>
                <w:rStyle w:val="st"/>
              </w:rPr>
              <w:t>Instituts Nationaux Supérieurs du Professorat et de l'Éducation (INSPE</w:t>
            </w:r>
            <w:r w:rsidRPr="00591F1A">
              <w:t>) une véritable formatio</w:t>
            </w:r>
            <w:r>
              <w:t>n de professeurs à la démarche</w:t>
            </w:r>
            <w:r w:rsidRPr="00591F1A">
              <w:t xml:space="preserve"> inclusive</w:t>
            </w:r>
            <w:r>
              <w:t>,</w:t>
            </w:r>
            <w:r w:rsidRPr="00591F1A">
              <w:t xml:space="preserve"> </w:t>
            </w:r>
            <w:r>
              <w:t>centrée</w:t>
            </w:r>
            <w:r w:rsidRPr="00591F1A">
              <w:t xml:space="preserve"> sur l’appréhension de la diversité des élèves dans les contextes d’apprentissages et dans une perspective d’accessibilité pédagogique.</w:t>
            </w:r>
          </w:p>
          <w:p w:rsidR="00F87278" w:rsidRPr="00591F1A" w:rsidRDefault="00F87278" w:rsidP="00027EF9">
            <w:pPr>
              <w:pStyle w:val="ListParagraph"/>
              <w:widowControl w:val="0"/>
              <w:numPr>
                <w:ilvl w:val="0"/>
                <w:numId w:val="5"/>
              </w:numPr>
              <w:autoSpaceDE w:val="0"/>
              <w:autoSpaceDN w:val="0"/>
              <w:spacing w:after="20" w:line="259" w:lineRule="auto"/>
              <w:ind w:right="113"/>
              <w:contextualSpacing w:val="0"/>
              <w:jc w:val="both"/>
            </w:pPr>
            <w:r>
              <w:t>S</w:t>
            </w:r>
            <w:r w:rsidRPr="00591F1A">
              <w:t>outenir énergique</w:t>
            </w:r>
            <w:r>
              <w:t xml:space="preserve">ment le transfert </w:t>
            </w:r>
            <w:r w:rsidRPr="00591F1A">
              <w:t>des unités d’ens</w:t>
            </w:r>
            <w:r>
              <w:t>eignement d</w:t>
            </w:r>
            <w:r w:rsidR="00654B03">
              <w:t xml:space="preserve">es ESMS </w:t>
            </w:r>
            <w:r>
              <w:t xml:space="preserve">vers </w:t>
            </w:r>
            <w:r w:rsidRPr="00591F1A">
              <w:t>le cadre scolaire ordinaire</w:t>
            </w:r>
            <w:r>
              <w:t>.</w:t>
            </w:r>
          </w:p>
          <w:p w:rsidR="00F87278" w:rsidRDefault="00F87278" w:rsidP="00027EF9">
            <w:pPr>
              <w:pStyle w:val="ListParagraph"/>
              <w:widowControl w:val="0"/>
              <w:numPr>
                <w:ilvl w:val="0"/>
                <w:numId w:val="5"/>
              </w:numPr>
              <w:autoSpaceDE w:val="0"/>
              <w:autoSpaceDN w:val="0"/>
              <w:spacing w:after="20" w:line="259" w:lineRule="auto"/>
              <w:ind w:right="113"/>
              <w:contextualSpacing w:val="0"/>
              <w:jc w:val="both"/>
            </w:pPr>
            <w:r w:rsidRPr="00591F1A">
              <w:lastRenderedPageBreak/>
              <w:t xml:space="preserve">Renforcer l’accompagnement des étudiants et étudiantes handicapés tout au long du cursus universitaire, en </w:t>
            </w:r>
            <w:r w:rsidR="00CE7881">
              <w:t>proposer un accès plus grand aux diverses</w:t>
            </w:r>
            <w:r w:rsidRPr="00591F1A">
              <w:t xml:space="preserve"> filières.</w:t>
            </w:r>
            <w:r>
              <w:t xml:space="preserve"> </w:t>
            </w:r>
          </w:p>
          <w:p w:rsidR="005A1ACC" w:rsidRDefault="005A1ACC" w:rsidP="005A1ACC">
            <w:pPr>
              <w:pStyle w:val="ListParagraph"/>
              <w:widowControl w:val="0"/>
              <w:autoSpaceDE w:val="0"/>
              <w:autoSpaceDN w:val="0"/>
              <w:spacing w:after="20" w:line="259" w:lineRule="auto"/>
              <w:ind w:right="113"/>
              <w:contextualSpacing w:val="0"/>
              <w:jc w:val="both"/>
            </w:pPr>
          </w:p>
        </w:tc>
      </w:tr>
    </w:tbl>
    <w:p w:rsidR="00F87278" w:rsidRDefault="00F87278" w:rsidP="00F87278">
      <w:pPr>
        <w:spacing w:after="20"/>
        <w:jc w:val="both"/>
        <w:rPr>
          <w:rFonts w:cstheme="minorHAnsi"/>
          <w:b/>
        </w:rPr>
      </w:pPr>
    </w:p>
    <w:p w:rsidR="00F87278" w:rsidRPr="00BB0A8B" w:rsidRDefault="00F87278" w:rsidP="00F87278">
      <w:pPr>
        <w:spacing w:after="20"/>
        <w:jc w:val="both"/>
        <w:rPr>
          <w:rFonts w:asciiTheme="majorHAnsi" w:eastAsiaTheme="majorEastAsia" w:hAnsiTheme="majorHAnsi" w:cstheme="majorBidi"/>
          <w:b/>
          <w:i/>
          <w:color w:val="2F5496" w:themeColor="accent5" w:themeShade="BF"/>
          <w:sz w:val="26"/>
          <w:lang w:eastAsia="en-GB"/>
        </w:rPr>
      </w:pPr>
    </w:p>
    <w:p w:rsidR="00F87278" w:rsidRDefault="00F87278" w:rsidP="00F87278"/>
    <w:p w:rsidR="00E01BDE" w:rsidRDefault="00E01BDE">
      <w:pPr>
        <w:spacing w:after="160"/>
        <w:rPr>
          <w:rFonts w:asciiTheme="majorHAnsi" w:eastAsiaTheme="majorEastAsia" w:hAnsiTheme="majorHAnsi" w:cstheme="majorBidi"/>
          <w:b/>
          <w:i/>
          <w:color w:val="2F5496" w:themeColor="accent5" w:themeShade="BF"/>
          <w:sz w:val="26"/>
          <w:lang w:eastAsia="en-GB"/>
        </w:rPr>
      </w:pPr>
      <w:r>
        <w:br w:type="page"/>
      </w:r>
    </w:p>
    <w:p w:rsidR="00E14192" w:rsidRDefault="00E14192" w:rsidP="007227BF">
      <w:pPr>
        <w:pStyle w:val="Heading3"/>
      </w:pPr>
      <w:bookmarkStart w:id="58" w:name="_Toc29546075"/>
      <w:r w:rsidRPr="00AC5FB1">
        <w:lastRenderedPageBreak/>
        <w:t xml:space="preserve">Article 25 </w:t>
      </w:r>
      <w:r w:rsidR="00C4409C">
        <w:t>–</w:t>
      </w:r>
      <w:r w:rsidRPr="00AC5FB1">
        <w:t xml:space="preserve"> Santé</w:t>
      </w:r>
      <w:bookmarkEnd w:id="55"/>
      <w:bookmarkEnd w:id="58"/>
      <w:r w:rsidR="00C4409C">
        <w:t xml:space="preserve"> </w:t>
      </w:r>
      <w:r>
        <w:t xml:space="preserve"> </w:t>
      </w:r>
    </w:p>
    <w:p w:rsidR="00EF538D" w:rsidRPr="00F15625" w:rsidRDefault="00EF538D" w:rsidP="00EF538D">
      <w:pPr>
        <w:spacing w:after="20"/>
        <w:jc w:val="both"/>
        <w:rPr>
          <w:sz w:val="16"/>
          <w:szCs w:val="16"/>
        </w:rPr>
      </w:pPr>
    </w:p>
    <w:p w:rsidR="00C25E57" w:rsidRDefault="00FC166A" w:rsidP="00EF538D">
      <w:pPr>
        <w:spacing w:after="20"/>
        <w:jc w:val="both"/>
      </w:pPr>
      <w:r w:rsidRPr="00F64C96">
        <w:t>La</w:t>
      </w:r>
      <w:r w:rsidR="00EF538D" w:rsidRPr="00F64C96">
        <w:t xml:space="preserve"> protection de la santé est un droit fondamental</w:t>
      </w:r>
      <w:r w:rsidR="00EF538D" w:rsidRPr="00F64C96">
        <w:rPr>
          <w:vertAlign w:val="superscript"/>
        </w:rPr>
        <w:endnoteReference w:id="47"/>
      </w:r>
      <w:r w:rsidR="00874C2F" w:rsidRPr="00F64C96">
        <w:t xml:space="preserve"> en France</w:t>
      </w:r>
      <w:r w:rsidR="00565C0A" w:rsidRPr="00F64C96">
        <w:t xml:space="preserve">, mais le </w:t>
      </w:r>
      <w:r w:rsidR="00EF538D" w:rsidRPr="00F64C96">
        <w:rPr>
          <w:b/>
        </w:rPr>
        <w:t>droit au soin opposable</w:t>
      </w:r>
      <w:r w:rsidRPr="00F64C96">
        <w:t xml:space="preserve"> n’</w:t>
      </w:r>
      <w:r w:rsidR="00565C0A" w:rsidRPr="00F64C96">
        <w:t>en est pas pour auta</w:t>
      </w:r>
      <w:r w:rsidR="008D741D" w:rsidRPr="00F64C96">
        <w:t>nt garanti</w:t>
      </w:r>
      <w:r w:rsidR="00AE4252" w:rsidRPr="00F64C96">
        <w:t xml:space="preserve"> en toutes circonstances. </w:t>
      </w:r>
    </w:p>
    <w:p w:rsidR="00AE4252" w:rsidRPr="00F64C96" w:rsidRDefault="00AE4252" w:rsidP="00EF538D">
      <w:pPr>
        <w:spacing w:after="20"/>
        <w:jc w:val="both"/>
      </w:pPr>
      <w:r w:rsidRPr="00F64C96">
        <w:t xml:space="preserve">Le taux de </w:t>
      </w:r>
      <w:r w:rsidRPr="00F64C96">
        <w:rPr>
          <w:b/>
        </w:rPr>
        <w:t xml:space="preserve">refus de soins </w:t>
      </w:r>
      <w:r w:rsidRPr="00F64C96">
        <w:t>envers les personnes en situation de handicap est très préoccupant (21% en mars 2019</w:t>
      </w:r>
      <w:r w:rsidRPr="00F64C96">
        <w:rPr>
          <w:rStyle w:val="EndnoteReference"/>
        </w:rPr>
        <w:endnoteReference w:id="48"/>
      </w:r>
      <w:r w:rsidRPr="00F64C96">
        <w:t xml:space="preserve">), et ce pour diverses raisons : </w:t>
      </w:r>
    </w:p>
    <w:p w:rsidR="00AE4252" w:rsidRPr="00F64C96" w:rsidRDefault="00AE4252" w:rsidP="00AE4252">
      <w:pPr>
        <w:pStyle w:val="ListParagraph"/>
        <w:numPr>
          <w:ilvl w:val="0"/>
          <w:numId w:val="13"/>
        </w:numPr>
        <w:spacing w:after="20"/>
        <w:jc w:val="both"/>
      </w:pPr>
      <w:r w:rsidRPr="00F64C96">
        <w:rPr>
          <w:b/>
        </w:rPr>
        <w:t>M</w:t>
      </w:r>
      <w:r w:rsidR="00EF538D" w:rsidRPr="00F64C96">
        <w:rPr>
          <w:b/>
        </w:rPr>
        <w:t>atérielle</w:t>
      </w:r>
      <w:r w:rsidR="00FC166A" w:rsidRPr="00F64C96">
        <w:rPr>
          <w:b/>
        </w:rPr>
        <w:t>s</w:t>
      </w:r>
      <w:r w:rsidRPr="00F64C96">
        <w:rPr>
          <w:b/>
        </w:rPr>
        <w:t xml:space="preserve"> et environnementales</w:t>
      </w:r>
      <w:r w:rsidR="00EF538D" w:rsidRPr="00F64C96">
        <w:t xml:space="preserve"> (cabinets non aménagés, hospitalisation non pré</w:t>
      </w:r>
      <w:r w:rsidR="00E12344" w:rsidRPr="00F64C96">
        <w:t>parée, non programmée, inadaptation</w:t>
      </w:r>
      <w:r w:rsidRPr="00F64C96">
        <w:t xml:space="preserve"> aux besoins des personnes) ; </w:t>
      </w:r>
    </w:p>
    <w:p w:rsidR="00AE4252" w:rsidRPr="00F64C96" w:rsidRDefault="00AE4252" w:rsidP="00AE4252">
      <w:pPr>
        <w:pStyle w:val="ListParagraph"/>
        <w:numPr>
          <w:ilvl w:val="0"/>
          <w:numId w:val="13"/>
        </w:numPr>
        <w:spacing w:after="20"/>
        <w:jc w:val="both"/>
      </w:pPr>
      <w:r w:rsidRPr="00F64C96">
        <w:t>M</w:t>
      </w:r>
      <w:r w:rsidR="00EF538D" w:rsidRPr="00F64C96">
        <w:t xml:space="preserve">ais aussi </w:t>
      </w:r>
      <w:r w:rsidR="00EF538D" w:rsidRPr="00F64C96">
        <w:rPr>
          <w:b/>
        </w:rPr>
        <w:t>comportementale</w:t>
      </w:r>
      <w:r w:rsidR="00EF538D" w:rsidRPr="00F64C96">
        <w:t xml:space="preserve"> (peur de ne pas savoir faire)</w:t>
      </w:r>
      <w:r w:rsidR="00F64C96" w:rsidRPr="00F64C96">
        <w:t xml:space="preserve">. </w:t>
      </w:r>
    </w:p>
    <w:p w:rsidR="00AE4252" w:rsidRPr="00F64C96" w:rsidRDefault="00AE4252" w:rsidP="00AE4252">
      <w:pPr>
        <w:spacing w:after="20"/>
        <w:jc w:val="both"/>
      </w:pPr>
      <w:r w:rsidRPr="00F64C96">
        <w:t xml:space="preserve">Ces </w:t>
      </w:r>
      <w:r w:rsidR="00FE4D95">
        <w:t>refus se</w:t>
      </w:r>
      <w:r w:rsidRPr="00F64C96">
        <w:t xml:space="preserve"> constatent que ce soit pour des soins de médicine générale, spéciale, d’hospitalisation à domicile ou en services hospitaliers. </w:t>
      </w:r>
    </w:p>
    <w:p w:rsidR="00AE4252" w:rsidRPr="00AE4252" w:rsidRDefault="00AE4252" w:rsidP="00AE4252">
      <w:pPr>
        <w:spacing w:after="20"/>
        <w:jc w:val="both"/>
        <w:rPr>
          <w:highlight w:val="yellow"/>
        </w:rPr>
      </w:pPr>
      <w:r w:rsidRPr="00F64C96">
        <w:t>Par ailleurs</w:t>
      </w:r>
      <w:r w:rsidR="00F64C96">
        <w:t xml:space="preserve">, </w:t>
      </w:r>
      <w:r w:rsidR="00F64C96" w:rsidRPr="00F64C96">
        <w:t>certaines</w:t>
      </w:r>
      <w:r w:rsidR="00F64C96">
        <w:t xml:space="preserve"> personnes ont besoin d’être accompagné</w:t>
      </w:r>
      <w:r w:rsidR="00CE7881">
        <w:t>es, mais</w:t>
      </w:r>
      <w:r w:rsidR="00C25E57">
        <w:t xml:space="preserve"> régulièrement l’accompagnant n’est pas accepté (37% en mars 2019).</w:t>
      </w:r>
      <w:r w:rsidR="00F64C96">
        <w:rPr>
          <w:rStyle w:val="EndnoteReference"/>
        </w:rPr>
        <w:endnoteReference w:id="49"/>
      </w:r>
      <w:r w:rsidR="00F64C96">
        <w:t xml:space="preserve"> </w:t>
      </w:r>
    </w:p>
    <w:p w:rsidR="00EF538D" w:rsidRPr="00AE4252" w:rsidRDefault="00EF538D" w:rsidP="00AE4252">
      <w:pPr>
        <w:spacing w:after="20"/>
        <w:jc w:val="both"/>
        <w:rPr>
          <w:highlight w:val="yellow"/>
        </w:rPr>
      </w:pPr>
      <w:r>
        <w:t xml:space="preserve">Ces </w:t>
      </w:r>
      <w:r w:rsidRPr="00AE4252">
        <w:rPr>
          <w:b/>
        </w:rPr>
        <w:t xml:space="preserve">refus de soins </w:t>
      </w:r>
      <w:r w:rsidR="00D54D44" w:rsidRPr="00AE4252">
        <w:rPr>
          <w:b/>
        </w:rPr>
        <w:t xml:space="preserve">sont </w:t>
      </w:r>
      <w:r w:rsidRPr="00AE4252">
        <w:rPr>
          <w:b/>
        </w:rPr>
        <w:t>discriminatoires</w:t>
      </w:r>
      <w:r>
        <w:t xml:space="preserve">, </w:t>
      </w:r>
      <w:r w:rsidR="00D54D44">
        <w:t xml:space="preserve">et </w:t>
      </w:r>
      <w:r>
        <w:t>bien qu’interdits</w:t>
      </w:r>
      <w:r w:rsidRPr="00A41F3A">
        <w:rPr>
          <w:vertAlign w:val="superscript"/>
        </w:rPr>
        <w:endnoteReference w:id="50"/>
      </w:r>
      <w:r w:rsidRPr="00B37D92">
        <w:t>,</w:t>
      </w:r>
      <w:r w:rsidR="00D54D44">
        <w:t xml:space="preserve"> ils</w:t>
      </w:r>
      <w:r>
        <w:t xml:space="preserve"> </w:t>
      </w:r>
      <w:r w:rsidR="00D54D44">
        <w:t>restent</w:t>
      </w:r>
      <w:r>
        <w:t xml:space="preserve"> difficiles à prouver. </w:t>
      </w:r>
    </w:p>
    <w:p w:rsidR="00EF538D" w:rsidRPr="00FE4D95" w:rsidRDefault="00EF538D" w:rsidP="00EF538D">
      <w:pPr>
        <w:spacing w:after="20"/>
        <w:jc w:val="both"/>
        <w:rPr>
          <w:sz w:val="16"/>
          <w:szCs w:val="16"/>
        </w:rPr>
      </w:pPr>
    </w:p>
    <w:p w:rsidR="00EF538D" w:rsidRDefault="00EA27CC" w:rsidP="00EF538D">
      <w:pPr>
        <w:spacing w:after="20"/>
        <w:jc w:val="both"/>
      </w:pPr>
      <w:r>
        <w:t xml:space="preserve">Aussi, </w:t>
      </w:r>
      <w:r w:rsidR="00EF538D" w:rsidRPr="000B589A">
        <w:t xml:space="preserve">un </w:t>
      </w:r>
      <w:r w:rsidR="00EF538D" w:rsidRPr="000B589A">
        <w:rPr>
          <w:b/>
        </w:rPr>
        <w:t>investissement humain et financier</w:t>
      </w:r>
      <w:r w:rsidR="00EF538D" w:rsidRPr="000B589A">
        <w:t xml:space="preserve"> </w:t>
      </w:r>
      <w:r w:rsidR="00CE7881">
        <w:t>est</w:t>
      </w:r>
      <w:r w:rsidR="00EF538D" w:rsidRPr="000B589A">
        <w:t xml:space="preserve"> nécessaire pour que tous les traitements et les services dont bénéficient les personnes soient basés sur leur consentement</w:t>
      </w:r>
      <w:r>
        <w:t>, car o</w:t>
      </w:r>
      <w:r w:rsidR="00EF538D" w:rsidRPr="000B589A">
        <w:t xml:space="preserve">n constate encore des cas d’hospitalisations sans consentement et des pratiques contestées par </w:t>
      </w:r>
      <w:r w:rsidR="00556DE4">
        <w:t>les personnes et l</w:t>
      </w:r>
      <w:r>
        <w:t>eurs familles.</w:t>
      </w:r>
    </w:p>
    <w:p w:rsidR="00EF538D" w:rsidRPr="00FE4D95" w:rsidRDefault="00EF538D" w:rsidP="00EF538D">
      <w:pPr>
        <w:spacing w:after="20"/>
        <w:jc w:val="both"/>
        <w:rPr>
          <w:sz w:val="16"/>
          <w:szCs w:val="16"/>
        </w:rPr>
      </w:pPr>
    </w:p>
    <w:p w:rsidR="0029733C" w:rsidRDefault="00EF538D" w:rsidP="00EF538D">
      <w:pPr>
        <w:spacing w:after="20"/>
        <w:jc w:val="both"/>
      </w:pPr>
      <w:r>
        <w:t xml:space="preserve">L’inadaptation du système de santé, </w:t>
      </w:r>
      <w:r w:rsidR="00FE4D95">
        <w:t xml:space="preserve">l’important reste à charge, le manque d’accessibilité des locaux et des transports, </w:t>
      </w:r>
      <w:r>
        <w:t xml:space="preserve">une éducation à la santé </w:t>
      </w:r>
      <w:r w:rsidR="00F15625">
        <w:t>insuffisante</w:t>
      </w:r>
      <w:r w:rsidR="00FE4D95">
        <w:t xml:space="preserve"> et des problématiques territoriales </w:t>
      </w:r>
      <w:r>
        <w:t xml:space="preserve">conduisent </w:t>
      </w:r>
      <w:r w:rsidR="00FE4D95">
        <w:t xml:space="preserve">finalement </w:t>
      </w:r>
      <w:r>
        <w:t>les personnes en situation de handicap à</w:t>
      </w:r>
      <w:r w:rsidR="00FE4D95">
        <w:t xml:space="preserve"> parfois </w:t>
      </w:r>
      <w:r w:rsidRPr="00FE4D95">
        <w:rPr>
          <w:b/>
        </w:rPr>
        <w:t>renoncer aux soins</w:t>
      </w:r>
      <w:r w:rsidR="00FE4D95">
        <w:t xml:space="preserve">. </w:t>
      </w:r>
    </w:p>
    <w:p w:rsidR="00F15625" w:rsidRPr="00F15625" w:rsidRDefault="00F15625" w:rsidP="00EF538D">
      <w:pPr>
        <w:spacing w:after="20"/>
        <w:jc w:val="both"/>
        <w:rPr>
          <w:sz w:val="10"/>
          <w:szCs w:val="10"/>
        </w:rPr>
      </w:pPr>
    </w:p>
    <w:tbl>
      <w:tblPr>
        <w:tblStyle w:val="GridTable1Light-Accent1"/>
        <w:tblW w:w="0" w:type="auto"/>
        <w:tblLook w:val="04A0" w:firstRow="1" w:lastRow="0" w:firstColumn="1" w:lastColumn="0" w:noHBand="0" w:noVBand="1"/>
      </w:tblPr>
      <w:tblGrid>
        <w:gridCol w:w="9062"/>
      </w:tblGrid>
      <w:tr w:rsidR="00EF538D" w:rsidTr="00E069A9">
        <w:trPr>
          <w:cnfStyle w:val="100000000000" w:firstRow="1" w:lastRow="0" w:firstColumn="0" w:lastColumn="0" w:oddVBand="0" w:evenVBand="0" w:oddHBand="0" w:evenHBand="0" w:firstRowFirstColumn="0" w:firstRowLastColumn="0" w:lastRowFirstColumn="0" w:lastRowLastColumn="0"/>
          <w:trHeight w:val="5012"/>
        </w:trPr>
        <w:tc>
          <w:tcPr>
            <w:cnfStyle w:val="001000000000" w:firstRow="0" w:lastRow="0" w:firstColumn="1" w:lastColumn="0" w:oddVBand="0" w:evenVBand="0" w:oddHBand="0" w:evenHBand="0" w:firstRowFirstColumn="0" w:firstRowLastColumn="0" w:lastRowFirstColumn="0" w:lastRowLastColumn="0"/>
            <w:tcW w:w="9062" w:type="dxa"/>
            <w:shd w:val="clear" w:color="auto" w:fill="F2F7FC"/>
          </w:tcPr>
          <w:p w:rsidR="004A2813" w:rsidRDefault="00EF538D" w:rsidP="0029733C">
            <w:pPr>
              <w:pStyle w:val="Heading7"/>
              <w:spacing w:before="0" w:after="20" w:line="259" w:lineRule="auto"/>
              <w:outlineLvl w:val="6"/>
              <w:rPr>
                <w:rStyle w:val="Emphasis"/>
                <w:b w:val="0"/>
                <w:bCs w:val="0"/>
                <w:i/>
              </w:rPr>
            </w:pPr>
            <w:r w:rsidRPr="004A2813">
              <w:rPr>
                <w:rStyle w:val="Emphasis"/>
                <w:i/>
              </w:rPr>
              <w:lastRenderedPageBreak/>
              <w:t>Recommandations</w:t>
            </w:r>
          </w:p>
          <w:p w:rsidR="009D4E69" w:rsidRPr="009D4E69" w:rsidRDefault="009D4E69" w:rsidP="009D4E69">
            <w:pPr>
              <w:rPr>
                <w:sz w:val="13"/>
                <w:szCs w:val="13"/>
                <w:lang w:eastAsia="en-GB"/>
              </w:rPr>
            </w:pPr>
          </w:p>
          <w:p w:rsidR="00EF538D" w:rsidRPr="00FB0A31" w:rsidRDefault="00EF538D" w:rsidP="00027EF9">
            <w:pPr>
              <w:pStyle w:val="ListParagraph"/>
              <w:widowControl w:val="0"/>
              <w:numPr>
                <w:ilvl w:val="0"/>
                <w:numId w:val="5"/>
              </w:numPr>
              <w:autoSpaceDE w:val="0"/>
              <w:autoSpaceDN w:val="0"/>
              <w:spacing w:after="20" w:line="259" w:lineRule="auto"/>
              <w:ind w:right="113"/>
              <w:contextualSpacing w:val="0"/>
              <w:jc w:val="both"/>
            </w:pPr>
            <w:r w:rsidRPr="00FB0A31">
              <w:t xml:space="preserve">Prévoir un programme d’accessibilité universelle des lieux de soins, des installations et des équipements et une formation des professionnels de santé sur le handicap. </w:t>
            </w:r>
            <w:r w:rsidR="00A43B18" w:rsidRPr="00FB0A31">
              <w:t>Étendre</w:t>
            </w:r>
            <w:r>
              <w:t xml:space="preserve"> notamment les services de relais téléphoniques aux personnes sourdaveugles et </w:t>
            </w:r>
            <w:r w:rsidRPr="009D4E69">
              <w:t>aphasiques</w:t>
            </w:r>
            <w:r w:rsidR="009D4E69" w:rsidRPr="009D4E69">
              <w:t>.</w:t>
            </w:r>
          </w:p>
          <w:p w:rsidR="00EF538D" w:rsidRDefault="00EF538D" w:rsidP="00027EF9">
            <w:pPr>
              <w:pStyle w:val="ListParagraph"/>
              <w:widowControl w:val="0"/>
              <w:numPr>
                <w:ilvl w:val="0"/>
                <w:numId w:val="5"/>
              </w:numPr>
              <w:autoSpaceDE w:val="0"/>
              <w:autoSpaceDN w:val="0"/>
              <w:spacing w:after="20" w:line="259" w:lineRule="auto"/>
              <w:ind w:right="113"/>
              <w:contextualSpacing w:val="0"/>
              <w:jc w:val="both"/>
            </w:pPr>
            <w:r w:rsidRPr="00FB0A31">
              <w:t>Lever les obstacles financiers d’accès à la santé en garantissant aux person</w:t>
            </w:r>
            <w:r>
              <w:t>nes en situation de handicap une prise en charge des restes à charge en santé lié</w:t>
            </w:r>
            <w:r w:rsidR="00F15625">
              <w:t>s</w:t>
            </w:r>
            <w:r>
              <w:t xml:space="preserve"> au handicap et </w:t>
            </w:r>
            <w:r w:rsidRPr="00FB0A31">
              <w:t xml:space="preserve">des coûts de transport pour accéder aux établissements et aux dispositifs répondant </w:t>
            </w:r>
            <w:r w:rsidR="00F15625">
              <w:t>à leurs besoins en matière de soins.</w:t>
            </w:r>
          </w:p>
          <w:p w:rsidR="00887BB2" w:rsidRPr="00FB0A31" w:rsidRDefault="00887BB2" w:rsidP="00027EF9">
            <w:pPr>
              <w:pStyle w:val="ListParagraph"/>
              <w:widowControl w:val="0"/>
              <w:numPr>
                <w:ilvl w:val="0"/>
                <w:numId w:val="5"/>
              </w:numPr>
              <w:autoSpaceDE w:val="0"/>
              <w:autoSpaceDN w:val="0"/>
              <w:spacing w:after="20" w:line="259" w:lineRule="auto"/>
              <w:ind w:right="113"/>
              <w:contextualSpacing w:val="0"/>
              <w:jc w:val="both"/>
            </w:pPr>
            <w:r>
              <w:t xml:space="preserve">Prendre en compte les propositions pour favoriser l’accès au soin des personnes en situation de handicap de la CNAM pour 2020. </w:t>
            </w:r>
          </w:p>
          <w:p w:rsidR="00EF538D" w:rsidRPr="006D4137" w:rsidRDefault="00EF538D" w:rsidP="00027EF9">
            <w:pPr>
              <w:pStyle w:val="ListParagraph"/>
              <w:widowControl w:val="0"/>
              <w:numPr>
                <w:ilvl w:val="0"/>
                <w:numId w:val="5"/>
              </w:numPr>
              <w:autoSpaceDE w:val="0"/>
              <w:autoSpaceDN w:val="0"/>
              <w:spacing w:after="20" w:line="259" w:lineRule="auto"/>
              <w:ind w:right="113"/>
              <w:contextualSpacing w:val="0"/>
              <w:jc w:val="both"/>
            </w:pPr>
            <w:r w:rsidRPr="00FB0A31">
              <w:t xml:space="preserve">Garantir un accès aux soins effectifs dans les </w:t>
            </w:r>
            <w:r w:rsidR="00654B03">
              <w:t xml:space="preserve">ESMS </w:t>
            </w:r>
            <w:r>
              <w:t>en prévoyant notamment</w:t>
            </w:r>
            <w:r w:rsidRPr="00FB0A31">
              <w:t xml:space="preserve"> des équipes médical</w:t>
            </w:r>
            <w:r>
              <w:t>es et paramédicales suffisantes ; et améliorer la coordination des acteurs sanitaires et médico-sociaux, concernant par exemple la sortie d’hospitalisation</w:t>
            </w:r>
            <w:r w:rsidRPr="00FB0A31">
              <w:t>.</w:t>
            </w:r>
          </w:p>
          <w:p w:rsidR="00EF538D" w:rsidRPr="00FB0A31" w:rsidRDefault="00EF538D" w:rsidP="00027EF9">
            <w:pPr>
              <w:pStyle w:val="ListParagraph"/>
              <w:widowControl w:val="0"/>
              <w:numPr>
                <w:ilvl w:val="0"/>
                <w:numId w:val="5"/>
              </w:numPr>
              <w:autoSpaceDE w:val="0"/>
              <w:autoSpaceDN w:val="0"/>
              <w:spacing w:after="20" w:line="259" w:lineRule="auto"/>
              <w:ind w:right="113"/>
              <w:contextualSpacing w:val="0"/>
              <w:jc w:val="both"/>
            </w:pPr>
            <w:r w:rsidRPr="00FB0A31">
              <w:t>Reconnaître les aidants familiaux et professionnels comme partenaires du parcours de soin des patients handicapés.</w:t>
            </w:r>
          </w:p>
          <w:p w:rsidR="00EF538D" w:rsidRPr="00FB0A31" w:rsidRDefault="00EF538D" w:rsidP="00027EF9">
            <w:pPr>
              <w:pStyle w:val="ListParagraph"/>
              <w:widowControl w:val="0"/>
              <w:numPr>
                <w:ilvl w:val="0"/>
                <w:numId w:val="5"/>
              </w:numPr>
              <w:autoSpaceDE w:val="0"/>
              <w:autoSpaceDN w:val="0"/>
              <w:spacing w:after="20" w:line="259" w:lineRule="auto"/>
              <w:ind w:right="113"/>
              <w:contextualSpacing w:val="0"/>
              <w:jc w:val="both"/>
            </w:pPr>
            <w:r>
              <w:t>Accompagner les</w:t>
            </w:r>
            <w:r w:rsidRPr="00FB0A31">
              <w:t xml:space="preserve"> personnes handicapées </w:t>
            </w:r>
            <w:r>
              <w:t xml:space="preserve">dans leur parcours de soins pour leur permettre </w:t>
            </w:r>
            <w:r w:rsidRPr="00FB0A31">
              <w:t>d’</w:t>
            </w:r>
            <w:r>
              <w:t xml:space="preserve">en </w:t>
            </w:r>
            <w:r w:rsidRPr="00FB0A31">
              <w:t>être acteurs.</w:t>
            </w:r>
          </w:p>
          <w:p w:rsidR="00EF538D" w:rsidRDefault="00EF538D" w:rsidP="00027EF9">
            <w:pPr>
              <w:pStyle w:val="ListParagraph"/>
              <w:widowControl w:val="0"/>
              <w:numPr>
                <w:ilvl w:val="0"/>
                <w:numId w:val="5"/>
              </w:numPr>
              <w:autoSpaceDE w:val="0"/>
              <w:autoSpaceDN w:val="0"/>
              <w:spacing w:after="20" w:line="259" w:lineRule="auto"/>
              <w:ind w:right="113"/>
              <w:contextualSpacing w:val="0"/>
              <w:jc w:val="both"/>
            </w:pPr>
            <w:r>
              <w:t>Rendre l</w:t>
            </w:r>
            <w:r w:rsidRPr="00FB0A31">
              <w:t>es campagnes de prévention</w:t>
            </w:r>
            <w:r>
              <w:t xml:space="preserve"> et</w:t>
            </w:r>
            <w:r w:rsidRPr="00FB0A31">
              <w:t xml:space="preserve"> de dépistage </w:t>
            </w:r>
            <w:r>
              <w:t>accessibles aux personnes en situation de handicap.</w:t>
            </w:r>
          </w:p>
          <w:p w:rsidR="009D4E69" w:rsidRPr="00556DE4" w:rsidRDefault="00EF538D" w:rsidP="00556DE4">
            <w:pPr>
              <w:pStyle w:val="ListParagraph"/>
              <w:widowControl w:val="0"/>
              <w:numPr>
                <w:ilvl w:val="0"/>
                <w:numId w:val="5"/>
              </w:numPr>
              <w:autoSpaceDE w:val="0"/>
              <w:autoSpaceDN w:val="0"/>
              <w:spacing w:after="20" w:line="259" w:lineRule="auto"/>
              <w:ind w:right="113"/>
              <w:contextualSpacing w:val="0"/>
              <w:jc w:val="both"/>
            </w:pPr>
            <w:r>
              <w:t xml:space="preserve">Garantir un accès et une continuité des soins pour les gens du voyage et migrants en situation de handicap. </w:t>
            </w:r>
          </w:p>
        </w:tc>
      </w:tr>
    </w:tbl>
    <w:p w:rsidR="0029733C" w:rsidRPr="0029733C" w:rsidRDefault="0029733C">
      <w:pPr>
        <w:spacing w:after="160"/>
        <w:rPr>
          <w:rFonts w:asciiTheme="majorHAnsi" w:eastAsiaTheme="majorEastAsia" w:hAnsiTheme="majorHAnsi" w:cstheme="majorBidi"/>
          <w:b/>
          <w:i/>
          <w:color w:val="2F5496" w:themeColor="accent5" w:themeShade="BF"/>
          <w:sz w:val="16"/>
          <w:szCs w:val="16"/>
          <w:lang w:eastAsia="en-GB"/>
        </w:rPr>
      </w:pPr>
      <w:bookmarkStart w:id="59" w:name="_Toc18076118"/>
      <w:r w:rsidRPr="0029733C">
        <w:rPr>
          <w:sz w:val="16"/>
          <w:szCs w:val="16"/>
        </w:rPr>
        <w:br w:type="page"/>
      </w:r>
    </w:p>
    <w:p w:rsidR="00E14192" w:rsidRDefault="00E14192" w:rsidP="007227BF">
      <w:pPr>
        <w:pStyle w:val="Heading3"/>
      </w:pPr>
      <w:bookmarkStart w:id="60" w:name="_Toc29546076"/>
      <w:r>
        <w:lastRenderedPageBreak/>
        <w:t xml:space="preserve">Article 27 </w:t>
      </w:r>
      <w:r w:rsidR="00C4409C">
        <w:t>–</w:t>
      </w:r>
      <w:r>
        <w:t xml:space="preserve"> Travail et emploi</w:t>
      </w:r>
      <w:bookmarkEnd w:id="59"/>
      <w:bookmarkEnd w:id="60"/>
    </w:p>
    <w:p w:rsidR="005D5FF7" w:rsidRPr="00E73EE8" w:rsidRDefault="005D5FF7" w:rsidP="00F85197">
      <w:pPr>
        <w:spacing w:after="20"/>
        <w:jc w:val="both"/>
        <w:rPr>
          <w:rFonts w:cstheme="minorHAnsi"/>
          <w:sz w:val="18"/>
          <w:szCs w:val="18"/>
        </w:rPr>
      </w:pPr>
    </w:p>
    <w:p w:rsidR="00E325DF" w:rsidRDefault="00E325DF" w:rsidP="00F85197">
      <w:pPr>
        <w:spacing w:after="20"/>
        <w:jc w:val="both"/>
        <w:rPr>
          <w:rFonts w:cstheme="minorHAnsi"/>
        </w:rPr>
      </w:pPr>
      <w:r>
        <w:rPr>
          <w:rFonts w:cstheme="minorHAnsi"/>
        </w:rPr>
        <w:t xml:space="preserve">Les personnes handicapées sont </w:t>
      </w:r>
      <w:r w:rsidRPr="005D5FF7">
        <w:rPr>
          <w:rFonts w:cstheme="minorHAnsi"/>
          <w:b/>
        </w:rPr>
        <w:t xml:space="preserve">deux fois et demi plus </w:t>
      </w:r>
      <w:r w:rsidR="00D96E74">
        <w:rPr>
          <w:rFonts w:cstheme="minorHAnsi"/>
          <w:b/>
        </w:rPr>
        <w:t xml:space="preserve">fréquemment </w:t>
      </w:r>
      <w:r w:rsidRPr="005D5FF7">
        <w:rPr>
          <w:rFonts w:cstheme="minorHAnsi"/>
          <w:b/>
        </w:rPr>
        <w:t>au chômage</w:t>
      </w:r>
      <w:r>
        <w:rPr>
          <w:rFonts w:cstheme="minorHAnsi"/>
        </w:rPr>
        <w:t xml:space="preserve"> que l</w:t>
      </w:r>
      <w:r w:rsidR="00FC786A">
        <w:rPr>
          <w:rFonts w:cstheme="minorHAnsi"/>
        </w:rPr>
        <w:t>a moyenne générale</w:t>
      </w:r>
      <w:r w:rsidR="004A2813">
        <w:rPr>
          <w:rStyle w:val="EndnoteReference"/>
          <w:rFonts w:cstheme="minorHAnsi"/>
        </w:rPr>
        <w:endnoteReference w:id="51"/>
      </w:r>
      <w:r>
        <w:rPr>
          <w:rFonts w:cstheme="minorHAnsi"/>
        </w:rPr>
        <w:t xml:space="preserve">. </w:t>
      </w:r>
      <w:r w:rsidRPr="004A2813">
        <w:rPr>
          <w:rFonts w:cstheme="minorHAnsi"/>
        </w:rPr>
        <w:t>Les statistiques</w:t>
      </w:r>
      <w:r>
        <w:rPr>
          <w:rFonts w:cstheme="minorHAnsi"/>
        </w:rPr>
        <w:t xml:space="preserve"> les plus récentes montrent que le chômage des personnes en situation de handicap s’accroît, au moment où le chômage des travailleurs en général se stabilise ou diminue légèrement.</w:t>
      </w:r>
    </w:p>
    <w:p w:rsidR="00E325DF" w:rsidRPr="00E73EE8" w:rsidRDefault="00E325DF" w:rsidP="00E73EE8">
      <w:pPr>
        <w:rPr>
          <w:sz w:val="18"/>
          <w:szCs w:val="18"/>
        </w:rPr>
      </w:pPr>
    </w:p>
    <w:p w:rsidR="00E14192" w:rsidRPr="00BE7A5B" w:rsidRDefault="00075777" w:rsidP="00F85197">
      <w:pPr>
        <w:pStyle w:val="Heading4"/>
        <w:spacing w:before="0" w:after="20"/>
        <w:ind w:left="708"/>
      </w:pPr>
      <w:r>
        <w:t>Les établissements</w:t>
      </w:r>
      <w:r w:rsidRPr="002716DC">
        <w:rPr>
          <w:rFonts w:cstheme="minorHAnsi"/>
        </w:rPr>
        <w:t xml:space="preserve"> et services d’aide par le travail</w:t>
      </w:r>
      <w:r>
        <w:rPr>
          <w:rFonts w:cstheme="minorHAnsi"/>
        </w:rPr>
        <w:t xml:space="preserve"> (ESAT)</w:t>
      </w:r>
    </w:p>
    <w:p w:rsidR="002716DC" w:rsidRPr="00E73EE8" w:rsidRDefault="002716DC" w:rsidP="00F85197">
      <w:pPr>
        <w:spacing w:after="20"/>
        <w:jc w:val="both"/>
        <w:rPr>
          <w:rFonts w:cstheme="minorHAnsi"/>
          <w:sz w:val="18"/>
          <w:szCs w:val="18"/>
        </w:rPr>
      </w:pPr>
    </w:p>
    <w:p w:rsidR="00E325DF" w:rsidRPr="00A41F3A" w:rsidRDefault="004D5882" w:rsidP="00F85197">
      <w:pPr>
        <w:spacing w:after="20"/>
        <w:jc w:val="both"/>
        <w:rPr>
          <w:rFonts w:cstheme="minorHAnsi"/>
          <w:strike/>
        </w:rPr>
      </w:pPr>
      <w:r>
        <w:rPr>
          <w:rFonts w:cstheme="minorHAnsi"/>
        </w:rPr>
        <w:t>La recherche d</w:t>
      </w:r>
      <w:r w:rsidR="00E14192" w:rsidRPr="002716DC">
        <w:rPr>
          <w:rFonts w:cstheme="minorHAnsi"/>
        </w:rPr>
        <w:t>’</w:t>
      </w:r>
      <w:r>
        <w:rPr>
          <w:rFonts w:cstheme="minorHAnsi"/>
        </w:rPr>
        <w:t xml:space="preserve">un </w:t>
      </w:r>
      <w:r w:rsidR="00E14192" w:rsidRPr="002716DC">
        <w:rPr>
          <w:rFonts w:cstheme="minorHAnsi"/>
        </w:rPr>
        <w:t>emploi en milieu ordinaire</w:t>
      </w:r>
      <w:r>
        <w:rPr>
          <w:rFonts w:cstheme="minorHAnsi"/>
        </w:rPr>
        <w:t xml:space="preserve"> constitue une priorité</w:t>
      </w:r>
      <w:r w:rsidR="00E325DF">
        <w:rPr>
          <w:rFonts w:cstheme="minorHAnsi"/>
        </w:rPr>
        <w:t>, mais t</w:t>
      </w:r>
      <w:r>
        <w:rPr>
          <w:rFonts w:cstheme="minorHAnsi"/>
        </w:rPr>
        <w:t xml:space="preserve">ravailler en milieu </w:t>
      </w:r>
      <w:r w:rsidR="005D5445">
        <w:rPr>
          <w:rFonts w:cstheme="minorHAnsi"/>
        </w:rPr>
        <w:t>protégé offre</w:t>
      </w:r>
      <w:r>
        <w:rPr>
          <w:rFonts w:cstheme="minorHAnsi"/>
        </w:rPr>
        <w:t xml:space="preserve"> un accompagnement, la possibilité d’acquérir des compétences </w:t>
      </w:r>
      <w:r w:rsidR="00E325DF">
        <w:rPr>
          <w:rFonts w:cstheme="minorHAnsi"/>
        </w:rPr>
        <w:t xml:space="preserve">et </w:t>
      </w:r>
      <w:r>
        <w:rPr>
          <w:rFonts w:cstheme="minorHAnsi"/>
        </w:rPr>
        <w:t xml:space="preserve">une solution de transition vers un emploi en milieu ordinaire. </w:t>
      </w:r>
    </w:p>
    <w:p w:rsidR="004D5882" w:rsidRPr="00E73EE8" w:rsidRDefault="004D5882" w:rsidP="00F85197">
      <w:pPr>
        <w:spacing w:after="20"/>
        <w:jc w:val="both"/>
        <w:rPr>
          <w:rFonts w:cstheme="minorHAnsi"/>
          <w:sz w:val="18"/>
          <w:szCs w:val="18"/>
        </w:rPr>
      </w:pPr>
    </w:p>
    <w:p w:rsidR="00E14192" w:rsidRPr="002716DC" w:rsidRDefault="004D5882" w:rsidP="00F85197">
      <w:pPr>
        <w:spacing w:after="20"/>
        <w:jc w:val="both"/>
        <w:rPr>
          <w:rFonts w:cstheme="minorHAnsi"/>
        </w:rPr>
      </w:pPr>
      <w:r>
        <w:rPr>
          <w:rFonts w:cstheme="minorHAnsi"/>
        </w:rPr>
        <w:t>D</w:t>
      </w:r>
      <w:r w:rsidR="00E14192" w:rsidRPr="002716DC">
        <w:rPr>
          <w:rFonts w:cstheme="minorHAnsi"/>
        </w:rPr>
        <w:t xml:space="preserve">ans le cadre de ce dispositif particulier, </w:t>
      </w:r>
      <w:r>
        <w:rPr>
          <w:rFonts w:cstheme="minorHAnsi"/>
        </w:rPr>
        <w:t xml:space="preserve">où un accompagnement social est offert aux travailleurs, </w:t>
      </w:r>
      <w:r w:rsidR="00E14192" w:rsidRPr="002716DC">
        <w:rPr>
          <w:rFonts w:cstheme="minorHAnsi"/>
        </w:rPr>
        <w:t xml:space="preserve">le droit </w:t>
      </w:r>
      <w:r>
        <w:rPr>
          <w:rFonts w:cstheme="minorHAnsi"/>
        </w:rPr>
        <w:t xml:space="preserve">tel qu’inscrit </w:t>
      </w:r>
      <w:r w:rsidR="00E325DF">
        <w:rPr>
          <w:rFonts w:cstheme="minorHAnsi"/>
        </w:rPr>
        <w:t xml:space="preserve">dans le </w:t>
      </w:r>
      <w:r>
        <w:rPr>
          <w:rFonts w:cstheme="minorHAnsi"/>
        </w:rPr>
        <w:t xml:space="preserve">code du travail </w:t>
      </w:r>
      <w:r w:rsidR="00E14192" w:rsidRPr="002716DC">
        <w:rPr>
          <w:rFonts w:cstheme="minorHAnsi"/>
        </w:rPr>
        <w:t xml:space="preserve">s’efface </w:t>
      </w:r>
      <w:r>
        <w:rPr>
          <w:rFonts w:cstheme="minorHAnsi"/>
        </w:rPr>
        <w:t xml:space="preserve">devant le droit relevant de la protection sociale, ce qui peut, à n’y prendre garde, </w:t>
      </w:r>
      <w:r w:rsidR="00E14192" w:rsidRPr="002716DC">
        <w:rPr>
          <w:rFonts w:cstheme="minorHAnsi"/>
        </w:rPr>
        <w:t>constitue</w:t>
      </w:r>
      <w:r>
        <w:rPr>
          <w:rFonts w:cstheme="minorHAnsi"/>
        </w:rPr>
        <w:t>r à terme</w:t>
      </w:r>
      <w:r w:rsidR="00E14192" w:rsidRPr="002716DC">
        <w:rPr>
          <w:rFonts w:cstheme="minorHAnsi"/>
        </w:rPr>
        <w:t xml:space="preserve"> une rupture d’égalité</w:t>
      </w:r>
      <w:r w:rsidR="00E325DF">
        <w:rPr>
          <w:rFonts w:cstheme="minorHAnsi"/>
        </w:rPr>
        <w:t>.</w:t>
      </w:r>
      <w:r w:rsidR="00CD7750">
        <w:rPr>
          <w:rFonts w:cstheme="minorHAnsi"/>
        </w:rPr>
        <w:t xml:space="preserve"> </w:t>
      </w:r>
      <w:r w:rsidR="00E14192" w:rsidRPr="002716DC">
        <w:rPr>
          <w:rFonts w:cstheme="minorHAnsi"/>
        </w:rPr>
        <w:t xml:space="preserve">L’Etat français doit donc </w:t>
      </w:r>
      <w:r>
        <w:rPr>
          <w:rFonts w:cstheme="minorHAnsi"/>
        </w:rPr>
        <w:t xml:space="preserve">renforcer son soutien, afin </w:t>
      </w:r>
      <w:r w:rsidR="001A32F3">
        <w:rPr>
          <w:rFonts w:cstheme="minorHAnsi"/>
        </w:rPr>
        <w:t xml:space="preserve">de </w:t>
      </w:r>
      <w:r w:rsidR="001A32F3" w:rsidRPr="002716DC">
        <w:rPr>
          <w:rFonts w:cstheme="minorHAnsi"/>
        </w:rPr>
        <w:t>permettre</w:t>
      </w:r>
      <w:r w:rsidR="00E14192" w:rsidRPr="002716DC">
        <w:rPr>
          <w:rFonts w:cstheme="minorHAnsi"/>
        </w:rPr>
        <w:t xml:space="preserve"> aux ESAT d’agir véritablement comme des plateformes pour la formation, l’évaluation des compétences et l’insertion professionnelle des personnes handicapées.</w:t>
      </w:r>
    </w:p>
    <w:p w:rsidR="00E325DF" w:rsidRPr="00E73EE8" w:rsidRDefault="00E325DF" w:rsidP="00F85197">
      <w:pPr>
        <w:spacing w:after="20"/>
        <w:jc w:val="both"/>
        <w:rPr>
          <w:rFonts w:cstheme="minorHAnsi"/>
          <w:b/>
          <w:sz w:val="18"/>
          <w:szCs w:val="18"/>
          <w:highlight w:val="yellow"/>
          <w:u w:val="single"/>
        </w:rPr>
      </w:pPr>
    </w:p>
    <w:p w:rsidR="00E14192" w:rsidRPr="008020AB" w:rsidRDefault="00E14192" w:rsidP="00F85197">
      <w:pPr>
        <w:pStyle w:val="Heading4"/>
        <w:spacing w:before="0" w:after="20"/>
        <w:ind w:left="708"/>
      </w:pPr>
      <w:r w:rsidRPr="008020AB">
        <w:t xml:space="preserve">Milieu ordinaire </w:t>
      </w:r>
    </w:p>
    <w:p w:rsidR="002716DC" w:rsidRPr="00E73EE8" w:rsidRDefault="002716DC" w:rsidP="00F85197">
      <w:pPr>
        <w:spacing w:after="20"/>
        <w:jc w:val="both"/>
        <w:rPr>
          <w:rFonts w:cstheme="minorHAnsi"/>
          <w:sz w:val="18"/>
          <w:szCs w:val="18"/>
        </w:rPr>
      </w:pPr>
    </w:p>
    <w:p w:rsidR="00E14192" w:rsidRDefault="004E242D" w:rsidP="00F85197">
      <w:pPr>
        <w:spacing w:after="20"/>
        <w:jc w:val="both"/>
        <w:rPr>
          <w:rFonts w:cstheme="minorHAnsi"/>
        </w:rPr>
      </w:pPr>
      <w:r w:rsidRPr="00A41F3A">
        <w:rPr>
          <w:rFonts w:cstheme="minorHAnsi"/>
        </w:rPr>
        <w:t>S</w:t>
      </w:r>
      <w:r w:rsidR="00E14192" w:rsidRPr="00472066">
        <w:rPr>
          <w:rFonts w:cstheme="minorHAnsi"/>
        </w:rPr>
        <w:t xml:space="preserve">’il existe en droit français une </w:t>
      </w:r>
      <w:r w:rsidR="00E14192" w:rsidRPr="005D5FF7">
        <w:rPr>
          <w:rFonts w:cstheme="minorHAnsi"/>
          <w:b/>
        </w:rPr>
        <w:t>obligation d'emploi en faveur des personnes handicapées</w:t>
      </w:r>
      <w:r w:rsidR="00E14192" w:rsidRPr="001A32F3">
        <w:rPr>
          <w:rFonts w:cstheme="minorHAnsi"/>
        </w:rPr>
        <w:t>, seules les personnes reconnues administrativement</w:t>
      </w:r>
      <w:r w:rsidR="001A0E42" w:rsidRPr="001A32F3">
        <w:rPr>
          <w:rFonts w:cstheme="minorHAnsi"/>
        </w:rPr>
        <w:t xml:space="preserve"> </w:t>
      </w:r>
      <w:r w:rsidR="00DC4201" w:rsidRPr="001A32F3">
        <w:rPr>
          <w:rFonts w:cstheme="minorHAnsi"/>
        </w:rPr>
        <w:t>« </w:t>
      </w:r>
      <w:r w:rsidR="00E14192" w:rsidRPr="001A32F3">
        <w:rPr>
          <w:rFonts w:cstheme="minorHAnsi"/>
        </w:rPr>
        <w:t>travailleurs handicapés</w:t>
      </w:r>
      <w:r w:rsidR="008020AB" w:rsidRPr="001A32F3">
        <w:rPr>
          <w:rFonts w:cstheme="minorHAnsi"/>
        </w:rPr>
        <w:t> »</w:t>
      </w:r>
      <w:r w:rsidR="00E14192" w:rsidRPr="001A32F3">
        <w:rPr>
          <w:rFonts w:cstheme="minorHAnsi"/>
        </w:rPr>
        <w:t xml:space="preserve"> peuvent en bénéficier</w:t>
      </w:r>
      <w:r w:rsidR="008020AB" w:rsidRPr="001A32F3">
        <w:rPr>
          <w:rFonts w:cstheme="minorHAnsi"/>
        </w:rPr>
        <w:t>.</w:t>
      </w:r>
      <w:r w:rsidRPr="001A32F3">
        <w:rPr>
          <w:rFonts w:cstheme="minorHAnsi"/>
        </w:rPr>
        <w:t xml:space="preserve"> Or cette reconnaissance se base sur une </w:t>
      </w:r>
      <w:r w:rsidR="002A7D41">
        <w:rPr>
          <w:rFonts w:cstheme="minorHAnsi"/>
        </w:rPr>
        <w:t>conception médicale du handicap</w:t>
      </w:r>
      <w:r w:rsidRPr="001A32F3">
        <w:rPr>
          <w:rFonts w:cstheme="minorHAnsi"/>
        </w:rPr>
        <w:t xml:space="preserve"> et a des conséquences préjudiciables pour </w:t>
      </w:r>
      <w:r w:rsidR="00E73EE8">
        <w:rPr>
          <w:rFonts w:cstheme="minorHAnsi"/>
        </w:rPr>
        <w:t>certaines</w:t>
      </w:r>
      <w:r w:rsidRPr="001A32F3">
        <w:rPr>
          <w:rFonts w:cstheme="minorHAnsi"/>
        </w:rPr>
        <w:t xml:space="preserve"> personnes</w:t>
      </w:r>
      <w:r w:rsidR="00E73EE8">
        <w:rPr>
          <w:rFonts w:cstheme="minorHAnsi"/>
        </w:rPr>
        <w:t xml:space="preserve"> en situation de handicap</w:t>
      </w:r>
      <w:r w:rsidRPr="001A32F3">
        <w:rPr>
          <w:rFonts w:cstheme="minorHAnsi"/>
        </w:rPr>
        <w:t>.</w:t>
      </w:r>
      <w:r>
        <w:rPr>
          <w:rFonts w:cstheme="minorHAnsi"/>
        </w:rPr>
        <w:t xml:space="preserve"> </w:t>
      </w:r>
    </w:p>
    <w:p w:rsidR="003C1576" w:rsidRPr="008020AB" w:rsidRDefault="003C1576" w:rsidP="00F85197">
      <w:pPr>
        <w:spacing w:after="20"/>
        <w:jc w:val="both"/>
        <w:rPr>
          <w:rFonts w:cstheme="minorHAnsi"/>
        </w:rPr>
      </w:pPr>
    </w:p>
    <w:p w:rsidR="00E73EE8" w:rsidRDefault="004E242D" w:rsidP="00D96E74">
      <w:pPr>
        <w:spacing w:after="20"/>
        <w:jc w:val="both"/>
        <w:rPr>
          <w:rFonts w:cstheme="minorHAnsi"/>
        </w:rPr>
      </w:pPr>
      <w:r>
        <w:rPr>
          <w:rFonts w:cstheme="minorHAnsi"/>
        </w:rPr>
        <w:lastRenderedPageBreak/>
        <w:t>De plus</w:t>
      </w:r>
      <w:r w:rsidR="00E14192" w:rsidRPr="008020AB">
        <w:rPr>
          <w:rFonts w:cstheme="minorHAnsi"/>
        </w:rPr>
        <w:t xml:space="preserve">, la </w:t>
      </w:r>
      <w:r w:rsidR="00E14192" w:rsidRPr="005D5FF7">
        <w:rPr>
          <w:rFonts w:cstheme="minorHAnsi"/>
          <w:b/>
        </w:rPr>
        <w:t>discrimination et la stigmatisation</w:t>
      </w:r>
      <w:r w:rsidR="00E14192" w:rsidRPr="008020AB">
        <w:rPr>
          <w:rFonts w:cstheme="minorHAnsi"/>
        </w:rPr>
        <w:t xml:space="preserve"> sont des obstacles majeurs sur le chemin de l'accès au marché du travail, quels que soient le niveau de formation et les compétences de la personne handicapée. L'absence ou l'insuffisance de qualification sont fréquemment citées comme étant à l'origine des difficultés d'accès à l'emploi des personnes handicapées. L'interdiction de discriminer protège seulement si le candidat présente les compétences requises</w:t>
      </w:r>
      <w:r w:rsidR="00DC4201">
        <w:rPr>
          <w:rFonts w:cstheme="minorHAnsi"/>
        </w:rPr>
        <w:t>. Ceci montre à quel point sont liés l’emploi, la formation et l’éducation.</w:t>
      </w:r>
      <w:r w:rsidR="00E14192" w:rsidRPr="002716DC">
        <w:rPr>
          <w:rFonts w:cstheme="minorHAnsi"/>
        </w:rPr>
        <w:t xml:space="preserve"> </w:t>
      </w:r>
      <w:bookmarkStart w:id="61" w:name="_Toc18076119"/>
    </w:p>
    <w:p w:rsidR="00D96E74" w:rsidRPr="00D96E74" w:rsidRDefault="00E73EE8" w:rsidP="00F268B6">
      <w:pPr>
        <w:spacing w:after="160"/>
        <w:rPr>
          <w:rFonts w:cstheme="minorHAnsi"/>
        </w:rPr>
      </w:pPr>
      <w:r>
        <w:rPr>
          <w:rFonts w:cstheme="minorHAnsi"/>
        </w:rPr>
        <w:br w:type="page"/>
      </w:r>
    </w:p>
    <w:tbl>
      <w:tblPr>
        <w:tblStyle w:val="GridTable1Light-Accent1"/>
        <w:tblpPr w:leftFromText="141" w:rightFromText="141" w:vertAnchor="text" w:horzAnchor="margin" w:tblpY="206"/>
        <w:tblW w:w="0" w:type="auto"/>
        <w:tblLook w:val="04A0" w:firstRow="1" w:lastRow="0" w:firstColumn="1" w:lastColumn="0" w:noHBand="0" w:noVBand="1"/>
      </w:tblPr>
      <w:tblGrid>
        <w:gridCol w:w="9062"/>
      </w:tblGrid>
      <w:tr w:rsidR="00D96E74" w:rsidTr="00946E1E">
        <w:trPr>
          <w:cnfStyle w:val="100000000000" w:firstRow="1" w:lastRow="0" w:firstColumn="0" w:lastColumn="0" w:oddVBand="0" w:evenVBand="0" w:oddHBand="0" w:evenHBand="0" w:firstRowFirstColumn="0" w:firstRowLastColumn="0" w:lastRowFirstColumn="0" w:lastRowLastColumn="0"/>
          <w:trHeight w:val="1124"/>
        </w:trPr>
        <w:tc>
          <w:tcPr>
            <w:cnfStyle w:val="001000000000" w:firstRow="0" w:lastRow="0" w:firstColumn="1" w:lastColumn="0" w:oddVBand="0" w:evenVBand="0" w:oddHBand="0" w:evenHBand="0" w:firstRowFirstColumn="0" w:firstRowLastColumn="0" w:lastRowFirstColumn="0" w:lastRowLastColumn="0"/>
            <w:tcW w:w="9062" w:type="dxa"/>
            <w:shd w:val="clear" w:color="auto" w:fill="F2F7FC"/>
          </w:tcPr>
          <w:p w:rsidR="00D96E74" w:rsidRDefault="00D96E74" w:rsidP="004D35A6">
            <w:pPr>
              <w:pStyle w:val="Heading7"/>
              <w:spacing w:before="0" w:after="20" w:line="259" w:lineRule="auto"/>
              <w:outlineLvl w:val="6"/>
              <w:rPr>
                <w:i w:val="0"/>
              </w:rPr>
            </w:pPr>
            <w:r w:rsidRPr="00E73EE8">
              <w:rPr>
                <w:rStyle w:val="Emphasis"/>
                <w:i/>
              </w:rPr>
              <w:lastRenderedPageBreak/>
              <w:t>Recommandations</w:t>
            </w:r>
            <w:r w:rsidRPr="00E73EE8">
              <w:rPr>
                <w:i w:val="0"/>
              </w:rPr>
              <w:t> </w:t>
            </w:r>
          </w:p>
          <w:p w:rsidR="00E73EE8" w:rsidRPr="003C1576" w:rsidRDefault="00E73EE8" w:rsidP="00E73EE8">
            <w:pPr>
              <w:rPr>
                <w:sz w:val="18"/>
                <w:szCs w:val="18"/>
                <w:lang w:eastAsia="en-GB"/>
              </w:rPr>
            </w:pPr>
          </w:p>
          <w:p w:rsidR="00D96E74" w:rsidRPr="00E73EE8" w:rsidRDefault="00F15625" w:rsidP="00027EF9">
            <w:pPr>
              <w:pStyle w:val="ListParagraph"/>
              <w:widowControl w:val="0"/>
              <w:numPr>
                <w:ilvl w:val="0"/>
                <w:numId w:val="5"/>
              </w:numPr>
              <w:autoSpaceDE w:val="0"/>
              <w:autoSpaceDN w:val="0"/>
              <w:spacing w:after="20" w:line="259" w:lineRule="auto"/>
              <w:ind w:right="113"/>
              <w:contextualSpacing w:val="0"/>
              <w:jc w:val="both"/>
            </w:pPr>
            <w:r>
              <w:t xml:space="preserve">Prise de mesures adéquates et conjointes par les </w:t>
            </w:r>
            <w:r w:rsidR="00D96E74" w:rsidRPr="00E73EE8">
              <w:t>ministère</w:t>
            </w:r>
            <w:r w:rsidR="003C1576">
              <w:t xml:space="preserve">s du Travail et </w:t>
            </w:r>
            <w:r w:rsidR="00D96E74" w:rsidRPr="00E73EE8">
              <w:t xml:space="preserve">de l’Education nationale doivent ensemble prendre les mesures adéquates pour que les personnes handicapées bénéficient d'une éducation et d’une formation professionnelle inclusives et </w:t>
            </w:r>
            <w:r w:rsidR="00E73EE8" w:rsidRPr="00E73EE8">
              <w:t>de qualité dans/</w:t>
            </w:r>
            <w:r w:rsidR="00D96E74" w:rsidRPr="00E73EE8">
              <w:t>en liaison directe avec des structures de droit commun, avec l'accompagnement nécessaire. Ces mesures devront veiller à favoriser la reconnaissance officielle généralisée de ces formations</w:t>
            </w:r>
            <w:r>
              <w:t xml:space="preserve"> (entre autres la </w:t>
            </w:r>
            <w:r w:rsidR="004D35A6" w:rsidRPr="00E73EE8">
              <w:t>r</w:t>
            </w:r>
            <w:r w:rsidR="00D96E74" w:rsidRPr="00E73EE8">
              <w:t>econnaissance des acquis de l’expérience).</w:t>
            </w:r>
          </w:p>
          <w:p w:rsidR="00D96E74" w:rsidRPr="00E73EE8" w:rsidRDefault="00D96E74" w:rsidP="00027EF9">
            <w:pPr>
              <w:pStyle w:val="ListParagraph"/>
              <w:widowControl w:val="0"/>
              <w:numPr>
                <w:ilvl w:val="0"/>
                <w:numId w:val="5"/>
              </w:numPr>
              <w:autoSpaceDE w:val="0"/>
              <w:autoSpaceDN w:val="0"/>
              <w:spacing w:after="20" w:line="259" w:lineRule="auto"/>
              <w:ind w:right="113"/>
              <w:contextualSpacing w:val="0"/>
              <w:jc w:val="both"/>
            </w:pPr>
            <w:r w:rsidRPr="00E73EE8">
              <w:t>Garantir une rémunération égale à celle des autres employés (via par exemple un accord d’entreprise) sans y inclure les prestations sociales compensatoires.</w:t>
            </w:r>
          </w:p>
          <w:p w:rsidR="00D96E74" w:rsidRPr="00E73EE8" w:rsidRDefault="00D96E74" w:rsidP="00027EF9">
            <w:pPr>
              <w:pStyle w:val="ListParagraph"/>
              <w:widowControl w:val="0"/>
              <w:numPr>
                <w:ilvl w:val="0"/>
                <w:numId w:val="5"/>
              </w:numPr>
              <w:autoSpaceDE w:val="0"/>
              <w:autoSpaceDN w:val="0"/>
              <w:spacing w:after="20" w:line="259" w:lineRule="auto"/>
              <w:ind w:right="113"/>
              <w:contextualSpacing w:val="0"/>
              <w:jc w:val="both"/>
            </w:pPr>
            <w:r w:rsidRPr="00E73EE8">
              <w:t>Réaliser une étude sur la rémunération et l’avancement de carrière.</w:t>
            </w:r>
          </w:p>
          <w:p w:rsidR="00D96E74" w:rsidRPr="00E73EE8" w:rsidRDefault="00D96E74" w:rsidP="00027EF9">
            <w:pPr>
              <w:pStyle w:val="ListParagraph"/>
              <w:widowControl w:val="0"/>
              <w:numPr>
                <w:ilvl w:val="0"/>
                <w:numId w:val="5"/>
              </w:numPr>
              <w:autoSpaceDE w:val="0"/>
              <w:autoSpaceDN w:val="0"/>
              <w:spacing w:after="20" w:line="259" w:lineRule="auto"/>
              <w:ind w:right="113"/>
              <w:contextualSpacing w:val="0"/>
              <w:jc w:val="both"/>
            </w:pPr>
            <w:r w:rsidRPr="00E73EE8">
              <w:t>Respecter le quota d'embauche de 6% d'agents handicapés, notamment sur des postes à responsabilités, en particulier dans les institutions de la République.</w:t>
            </w:r>
          </w:p>
          <w:p w:rsidR="00D96E74" w:rsidRPr="00E73EE8" w:rsidRDefault="00D96E74" w:rsidP="00027EF9">
            <w:pPr>
              <w:pStyle w:val="ListParagraph"/>
              <w:widowControl w:val="0"/>
              <w:numPr>
                <w:ilvl w:val="0"/>
                <w:numId w:val="5"/>
              </w:numPr>
              <w:autoSpaceDE w:val="0"/>
              <w:autoSpaceDN w:val="0"/>
              <w:spacing w:after="20" w:line="259" w:lineRule="auto"/>
              <w:ind w:right="113"/>
              <w:contextualSpacing w:val="0"/>
              <w:jc w:val="both"/>
            </w:pPr>
            <w:r w:rsidRPr="00E73EE8">
              <w:t xml:space="preserve">Développer des accompagnements personnalisés et pérennes pour l’insertion professionnelle </w:t>
            </w:r>
            <w:r w:rsidR="004D35A6" w:rsidRPr="00E73EE8">
              <w:t xml:space="preserve">et </w:t>
            </w:r>
            <w:r w:rsidR="00946E1E" w:rsidRPr="00E73EE8">
              <w:t xml:space="preserve">généraliser le </w:t>
            </w:r>
            <w:r w:rsidRPr="00E73EE8">
              <w:t>dispositif d’emploi accompagné</w:t>
            </w:r>
            <w:r w:rsidR="004D35A6" w:rsidRPr="00E73EE8">
              <w:t>.</w:t>
            </w:r>
          </w:p>
          <w:p w:rsidR="0029733C" w:rsidRPr="003C1576" w:rsidRDefault="00D96E74" w:rsidP="003C1576">
            <w:pPr>
              <w:pStyle w:val="ListParagraph"/>
              <w:widowControl w:val="0"/>
              <w:numPr>
                <w:ilvl w:val="0"/>
                <w:numId w:val="5"/>
              </w:numPr>
              <w:autoSpaceDE w:val="0"/>
              <w:autoSpaceDN w:val="0"/>
              <w:spacing w:after="20" w:line="259" w:lineRule="auto"/>
              <w:ind w:right="113"/>
              <w:contextualSpacing w:val="0"/>
              <w:jc w:val="both"/>
              <w:rPr>
                <w:b w:val="0"/>
                <w:bCs w:val="0"/>
              </w:rPr>
            </w:pPr>
            <w:r w:rsidRPr="00E73EE8">
              <w:t>Prendre en compte tous les aspects relevant des aménagements raisonnables (accessibilité, aménagement de poste, accompagnement, tutorat)</w:t>
            </w:r>
            <w:r w:rsidR="004D35A6" w:rsidRPr="00E73EE8">
              <w:t xml:space="preserve"> et d</w:t>
            </w:r>
            <w:r w:rsidRPr="00E73EE8">
              <w:t>évelopper un corps de spécialistes (erg</w:t>
            </w:r>
            <w:r w:rsidR="00946E1E" w:rsidRPr="00E73EE8">
              <w:t xml:space="preserve">onomes, psychologues du travail) </w:t>
            </w:r>
            <w:r w:rsidRPr="00E73EE8">
              <w:t>chargés d’apporter un appui technique aux employeurs</w:t>
            </w:r>
            <w:r w:rsidR="00946E1E" w:rsidRPr="00E73EE8">
              <w:t>.</w:t>
            </w:r>
          </w:p>
          <w:p w:rsidR="003C1576" w:rsidRPr="003C1576" w:rsidRDefault="003C1576" w:rsidP="003C1576">
            <w:pPr>
              <w:pStyle w:val="ListParagraph"/>
              <w:widowControl w:val="0"/>
              <w:autoSpaceDE w:val="0"/>
              <w:autoSpaceDN w:val="0"/>
              <w:spacing w:after="20" w:line="259" w:lineRule="auto"/>
              <w:ind w:right="113"/>
              <w:contextualSpacing w:val="0"/>
              <w:jc w:val="both"/>
              <w:rPr>
                <w:b w:val="0"/>
                <w:bCs w:val="0"/>
              </w:rPr>
            </w:pPr>
          </w:p>
        </w:tc>
      </w:tr>
    </w:tbl>
    <w:p w:rsidR="005D5FF7" w:rsidRDefault="005D5FF7">
      <w:pPr>
        <w:spacing w:after="160"/>
        <w:rPr>
          <w:rFonts w:asciiTheme="majorHAnsi" w:eastAsiaTheme="majorEastAsia" w:hAnsiTheme="majorHAnsi" w:cstheme="majorBidi"/>
          <w:b/>
          <w:i/>
          <w:color w:val="2F5496" w:themeColor="accent5" w:themeShade="BF"/>
          <w:sz w:val="26"/>
          <w:lang w:eastAsia="en-GB"/>
        </w:rPr>
      </w:pPr>
      <w:r>
        <w:br w:type="page"/>
      </w:r>
    </w:p>
    <w:p w:rsidR="00B6675D" w:rsidRPr="00427486" w:rsidRDefault="00E14192" w:rsidP="007227BF">
      <w:pPr>
        <w:pStyle w:val="Heading3"/>
      </w:pPr>
      <w:bookmarkStart w:id="62" w:name="_Toc29546077"/>
      <w:r>
        <w:lastRenderedPageBreak/>
        <w:t xml:space="preserve">Article 28 </w:t>
      </w:r>
      <w:r w:rsidR="00C4409C">
        <w:t>–</w:t>
      </w:r>
      <w:r>
        <w:t xml:space="preserve"> Niveau de vie adéquat et protection sociale</w:t>
      </w:r>
      <w:bookmarkEnd w:id="61"/>
      <w:bookmarkEnd w:id="62"/>
      <w:r>
        <w:t xml:space="preserve"> </w:t>
      </w:r>
    </w:p>
    <w:p w:rsidR="009819AB" w:rsidRPr="00EE7B88" w:rsidRDefault="009819AB" w:rsidP="00F85197">
      <w:pPr>
        <w:spacing w:after="20"/>
        <w:jc w:val="both"/>
        <w:rPr>
          <w:sz w:val="16"/>
          <w:szCs w:val="16"/>
        </w:rPr>
      </w:pPr>
    </w:p>
    <w:p w:rsidR="009819AB" w:rsidRPr="006461E0" w:rsidRDefault="009819AB" w:rsidP="00F85197">
      <w:pPr>
        <w:pStyle w:val="Heading4"/>
        <w:spacing w:before="0" w:after="20"/>
        <w:ind w:firstLine="708"/>
      </w:pPr>
      <w:r w:rsidRPr="006461E0">
        <w:t xml:space="preserve">Des conditions de vie qui se dégradent </w:t>
      </w:r>
    </w:p>
    <w:p w:rsidR="005D5445" w:rsidRPr="00EE7B88" w:rsidRDefault="005D5445" w:rsidP="00F85197">
      <w:pPr>
        <w:spacing w:after="20"/>
        <w:jc w:val="both"/>
        <w:rPr>
          <w:sz w:val="16"/>
          <w:szCs w:val="16"/>
        </w:rPr>
      </w:pPr>
    </w:p>
    <w:p w:rsidR="00772E74" w:rsidRDefault="009819AB" w:rsidP="00F85197">
      <w:pPr>
        <w:spacing w:after="20"/>
        <w:jc w:val="both"/>
      </w:pPr>
      <w:r w:rsidRPr="00423AFB">
        <w:t xml:space="preserve">Le seuil de pauvreté, correspondant à 60% du revenu médian, </w:t>
      </w:r>
      <w:r w:rsidR="00A545DC" w:rsidRPr="00423AFB">
        <w:t xml:space="preserve">s’évalue en 2019 à </w:t>
      </w:r>
      <w:r w:rsidRPr="00423AFB">
        <w:t>1015</w:t>
      </w:r>
      <w:r w:rsidR="002A7D41">
        <w:t xml:space="preserve"> </w:t>
      </w:r>
      <w:r w:rsidRPr="00423AFB">
        <w:t>€ par mois</w:t>
      </w:r>
      <w:r w:rsidR="008F2E55" w:rsidRPr="00423AFB">
        <w:rPr>
          <w:rStyle w:val="EndnoteReference"/>
        </w:rPr>
        <w:endnoteReference w:id="52"/>
      </w:r>
      <w:r w:rsidRPr="00423AFB">
        <w:t xml:space="preserve">. En France, 9 millions de personnes vivent en dessous du seuil de pauvreté, dont </w:t>
      </w:r>
      <w:r w:rsidRPr="00423AFB">
        <w:rPr>
          <w:b/>
        </w:rPr>
        <w:t xml:space="preserve">plus d’un million </w:t>
      </w:r>
      <w:r w:rsidR="00757104" w:rsidRPr="00423AFB">
        <w:rPr>
          <w:b/>
        </w:rPr>
        <w:t xml:space="preserve">sont </w:t>
      </w:r>
      <w:r w:rsidRPr="00423AFB">
        <w:rPr>
          <w:b/>
        </w:rPr>
        <w:t>de</w:t>
      </w:r>
      <w:r w:rsidR="00757104" w:rsidRPr="00423AFB">
        <w:rPr>
          <w:b/>
        </w:rPr>
        <w:t>s</w:t>
      </w:r>
      <w:r w:rsidRPr="00423AFB">
        <w:rPr>
          <w:b/>
        </w:rPr>
        <w:t xml:space="preserve"> personnes handicapées</w:t>
      </w:r>
      <w:r w:rsidRPr="00423AFB">
        <w:t>.</w:t>
      </w:r>
      <w:r w:rsidR="00772E74" w:rsidRPr="00423AFB">
        <w:t xml:space="preserve"> S</w:t>
      </w:r>
      <w:r w:rsidRPr="00423AFB">
        <w:t xml:space="preserve">i </w:t>
      </w:r>
      <w:r w:rsidR="00CD7750">
        <w:t>l’AAH</w:t>
      </w:r>
      <w:r w:rsidR="00772E74" w:rsidRPr="00423AFB">
        <w:t xml:space="preserve"> </w:t>
      </w:r>
      <w:r w:rsidRPr="00423AFB">
        <w:t>a été revalorisée au 1</w:t>
      </w:r>
      <w:r w:rsidRPr="00423AFB">
        <w:rPr>
          <w:vertAlign w:val="superscript"/>
        </w:rPr>
        <w:t>er</w:t>
      </w:r>
      <w:r w:rsidR="00772E74" w:rsidRPr="00423AFB">
        <w:t xml:space="preserve"> </w:t>
      </w:r>
      <w:r w:rsidRPr="00423AFB">
        <w:t>novembre 2019 et passe désormais à 900</w:t>
      </w:r>
      <w:r w:rsidR="002A7D41">
        <w:t> </w:t>
      </w:r>
      <w:r w:rsidRPr="00423AFB">
        <w:t xml:space="preserve">€ par mois, </w:t>
      </w:r>
      <w:r w:rsidR="00772E74" w:rsidRPr="00423AFB">
        <w:t xml:space="preserve">cela reste </w:t>
      </w:r>
      <w:r w:rsidR="00A545DC" w:rsidRPr="00423AFB">
        <w:t>environ 10% en-dessous du seuil de pauvreté.</w:t>
      </w:r>
      <w:r w:rsidRPr="00423AFB">
        <w:t xml:space="preserve"> </w:t>
      </w:r>
      <w:r w:rsidR="00772E74" w:rsidRPr="00423AFB">
        <w:t>D’autant plus</w:t>
      </w:r>
      <w:r w:rsidRPr="00423AFB">
        <w:t xml:space="preserve"> </w:t>
      </w:r>
      <w:r w:rsidR="00757104" w:rsidRPr="00423AFB">
        <w:t xml:space="preserve">qu’un </w:t>
      </w:r>
      <w:r w:rsidRPr="00423AFB">
        <w:t>certain nombre d’allocataires, vivant en couple notamment, n</w:t>
      </w:r>
      <w:r w:rsidR="00772E74" w:rsidRPr="00423AFB">
        <w:t>’en bénéficient pas intégralement.</w:t>
      </w:r>
      <w:r w:rsidR="00772E74">
        <w:t xml:space="preserve"> </w:t>
      </w:r>
    </w:p>
    <w:p w:rsidR="009819AB" w:rsidRPr="00EE7B88" w:rsidRDefault="009819AB" w:rsidP="00F85197">
      <w:pPr>
        <w:spacing w:after="20"/>
        <w:jc w:val="both"/>
        <w:rPr>
          <w:sz w:val="16"/>
          <w:szCs w:val="16"/>
        </w:rPr>
      </w:pPr>
    </w:p>
    <w:p w:rsidR="009819AB" w:rsidRPr="006461E0" w:rsidRDefault="009819AB" w:rsidP="00F85197">
      <w:pPr>
        <w:pStyle w:val="Heading4"/>
        <w:spacing w:before="0" w:after="20"/>
        <w:ind w:firstLine="708"/>
      </w:pPr>
      <w:r w:rsidRPr="00751EC3">
        <w:t>Des restes à charge insoutenables</w:t>
      </w:r>
      <w:r w:rsidRPr="006461E0">
        <w:t xml:space="preserve"> </w:t>
      </w:r>
    </w:p>
    <w:p w:rsidR="005D5445" w:rsidRPr="00EE7B88" w:rsidRDefault="005D5445" w:rsidP="00F85197">
      <w:pPr>
        <w:spacing w:after="20"/>
        <w:jc w:val="both"/>
        <w:rPr>
          <w:sz w:val="16"/>
          <w:szCs w:val="16"/>
        </w:rPr>
      </w:pPr>
    </w:p>
    <w:p w:rsidR="00E00C58" w:rsidRDefault="00981198" w:rsidP="00F85197">
      <w:pPr>
        <w:spacing w:after="20"/>
        <w:jc w:val="both"/>
      </w:pPr>
      <w:r w:rsidRPr="008F3795">
        <w:t>Les</w:t>
      </w:r>
      <w:r w:rsidR="009819AB" w:rsidRPr="008F3795">
        <w:t xml:space="preserve"> dépenses de santé</w:t>
      </w:r>
      <w:r w:rsidR="00751EC3">
        <w:t xml:space="preserve"> (soins, médicaments)</w:t>
      </w:r>
      <w:r w:rsidR="009819AB" w:rsidRPr="008F3795">
        <w:t xml:space="preserve"> ou liées à la perte d’autonomie</w:t>
      </w:r>
      <w:r w:rsidR="00751EC3">
        <w:t xml:space="preserve"> (aides humaines ou techniques, aménagement du logement ou du véhicule)</w:t>
      </w:r>
      <w:r w:rsidR="009819AB" w:rsidRPr="008F3795">
        <w:t xml:space="preserve"> sont trop partiellement financés</w:t>
      </w:r>
      <w:r w:rsidR="00772E74" w:rsidRPr="008F3795">
        <w:t>,</w:t>
      </w:r>
      <w:r w:rsidR="009819AB" w:rsidRPr="008F3795">
        <w:t xml:space="preserve"> </w:t>
      </w:r>
      <w:r w:rsidRPr="008F3795">
        <w:t xml:space="preserve">voire </w:t>
      </w:r>
      <w:r w:rsidR="009819AB" w:rsidRPr="008F3795">
        <w:t>plus du tout</w:t>
      </w:r>
      <w:r w:rsidR="00772E74" w:rsidRPr="008F3795">
        <w:t>,</w:t>
      </w:r>
      <w:r w:rsidR="009819AB" w:rsidRPr="008F3795">
        <w:t xml:space="preserve"> par la solidarité nationale, alors qu’elles sont indispensables à l’autonomie des personnes. </w:t>
      </w:r>
    </w:p>
    <w:p w:rsidR="00145105" w:rsidRPr="00145105" w:rsidRDefault="00145105" w:rsidP="00145105">
      <w:pPr>
        <w:jc w:val="both"/>
      </w:pPr>
      <w:r w:rsidRPr="00145105">
        <w:t>D’après l’enquête de la Caisse nationale d’assurance maladie (CNAM), il faut aussi se demander si le fait de bénéficier de l’AAH ne fait pas bas</w:t>
      </w:r>
      <w:r w:rsidRPr="00145105">
        <w:softHyphen/>
        <w:t>culer un certain nombre de personnes au-dessus du plafond de ressources ouvrant droit à la c</w:t>
      </w:r>
      <w:r w:rsidR="00685B74">
        <w:t>omplémentaire</w:t>
      </w:r>
      <w:r w:rsidRPr="00145105">
        <w:t xml:space="preserve"> </w:t>
      </w:r>
      <w:r w:rsidR="00685B74">
        <w:t>santé</w:t>
      </w:r>
      <w:r w:rsidRPr="00145105">
        <w:t xml:space="preserve"> </w:t>
      </w:r>
      <w:r w:rsidR="00685B74">
        <w:t>solidaire</w:t>
      </w:r>
      <w:r w:rsidRPr="00145105">
        <w:t xml:space="preserve"> (</w:t>
      </w:r>
      <w:r w:rsidR="00685B74">
        <w:t xml:space="preserve">ex. </w:t>
      </w:r>
      <w:r w:rsidRPr="00145105">
        <w:t>CMU-C), les privant ainsi de la protection conférée par ce dispositif.</w:t>
      </w:r>
      <w:r>
        <w:rPr>
          <w:rStyle w:val="EndnoteReference"/>
        </w:rPr>
        <w:endnoteReference w:id="53"/>
      </w:r>
      <w:r w:rsidR="00751EC3">
        <w:t xml:space="preserve"> </w:t>
      </w:r>
    </w:p>
    <w:p w:rsidR="009819AB" w:rsidRPr="008F3795" w:rsidRDefault="009819AB" w:rsidP="00F85197">
      <w:pPr>
        <w:spacing w:after="20"/>
        <w:jc w:val="both"/>
        <w:rPr>
          <w:sz w:val="16"/>
          <w:szCs w:val="16"/>
        </w:rPr>
      </w:pPr>
    </w:p>
    <w:p w:rsidR="009819AB" w:rsidRPr="008F3795" w:rsidRDefault="009819AB" w:rsidP="00F85197">
      <w:pPr>
        <w:pStyle w:val="Heading4"/>
        <w:spacing w:before="0" w:after="20"/>
        <w:ind w:firstLine="708"/>
      </w:pPr>
      <w:r w:rsidRPr="008F3795">
        <w:t xml:space="preserve">L’impact de la vie en établissement et de l’aide sociale à l’hébergement </w:t>
      </w:r>
    </w:p>
    <w:p w:rsidR="005D5445" w:rsidRPr="008F3795" w:rsidRDefault="005D5445" w:rsidP="00F85197">
      <w:pPr>
        <w:spacing w:after="20"/>
        <w:jc w:val="both"/>
        <w:rPr>
          <w:sz w:val="16"/>
          <w:szCs w:val="16"/>
        </w:rPr>
      </w:pPr>
    </w:p>
    <w:p w:rsidR="009819AB" w:rsidRPr="008F3795" w:rsidRDefault="008F2E55" w:rsidP="00F85197">
      <w:pPr>
        <w:spacing w:after="20"/>
        <w:jc w:val="both"/>
      </w:pPr>
      <w:r w:rsidRPr="008F3795">
        <w:t>Vivre</w:t>
      </w:r>
      <w:r w:rsidR="009819AB" w:rsidRPr="008F3795">
        <w:t xml:space="preserve"> dans un établissement social ou médico-social </w:t>
      </w:r>
      <w:r w:rsidRPr="008F3795">
        <w:t>a</w:t>
      </w:r>
      <w:r w:rsidR="009819AB" w:rsidRPr="008F3795">
        <w:t xml:space="preserve"> un impact très important sur les ressources des bénéficiaires de l’AAH, car les personnes doivent contribuer aux frais d’hébergement et d’entretien. </w:t>
      </w:r>
    </w:p>
    <w:p w:rsidR="009819AB" w:rsidRPr="008F3795" w:rsidRDefault="009819AB" w:rsidP="00F85197">
      <w:pPr>
        <w:spacing w:after="20"/>
        <w:jc w:val="both"/>
      </w:pPr>
      <w:r w:rsidRPr="008F3795">
        <w:t xml:space="preserve">Ainsi, le </w:t>
      </w:r>
      <w:r w:rsidR="00A545DC" w:rsidRPr="008F3795">
        <w:t>« </w:t>
      </w:r>
      <w:r w:rsidRPr="008F3795">
        <w:t>reste</w:t>
      </w:r>
      <w:r w:rsidR="00A545DC" w:rsidRPr="008F3795">
        <w:t>-</w:t>
      </w:r>
      <w:r w:rsidRPr="008F3795">
        <w:t>à</w:t>
      </w:r>
      <w:r w:rsidR="00A545DC" w:rsidRPr="008F3795">
        <w:t>-</w:t>
      </w:r>
      <w:r w:rsidRPr="008F3795">
        <w:t>vivre</w:t>
      </w:r>
      <w:r w:rsidR="00A545DC" w:rsidRPr="008F3795">
        <w:t> »</w:t>
      </w:r>
      <w:r w:rsidRPr="008F3795">
        <w:t xml:space="preserve"> </w:t>
      </w:r>
      <w:r w:rsidR="00A545DC" w:rsidRPr="008F3795">
        <w:t>–</w:t>
      </w:r>
      <w:r w:rsidRPr="008F3795">
        <w:t xml:space="preserve"> somme minimum définie pour permettre à la personne handicapée hébergée en établissement de faire face à ses autres dépenses de base </w:t>
      </w:r>
      <w:r w:rsidR="00A545DC" w:rsidRPr="008F3795">
        <w:t>–</w:t>
      </w:r>
      <w:r w:rsidRPr="008F3795">
        <w:t xml:space="preserve"> est fixée à 30% de </w:t>
      </w:r>
      <w:r w:rsidRPr="008F3795">
        <w:lastRenderedPageBreak/>
        <w:t>l’AAH</w:t>
      </w:r>
      <w:r w:rsidR="00981198" w:rsidRPr="008F3795">
        <w:t>,</w:t>
      </w:r>
      <w:r w:rsidR="00497002" w:rsidRPr="008F3795">
        <w:t xml:space="preserve"> soit 270</w:t>
      </w:r>
      <w:r w:rsidR="002A7D41">
        <w:t> </w:t>
      </w:r>
      <w:r w:rsidRPr="008F3795">
        <w:t xml:space="preserve">€ par mois. Cela ne permet en aucun cas un niveau de vie adéquat, d’autant plus que ces contributions ne sont pas les mêmes selon le financeur local, engendrant </w:t>
      </w:r>
      <w:r w:rsidR="00497002" w:rsidRPr="008F3795">
        <w:t xml:space="preserve">ainsi </w:t>
      </w:r>
      <w:r w:rsidRPr="008F3795">
        <w:t xml:space="preserve">des inégalités territoriales. </w:t>
      </w:r>
    </w:p>
    <w:p w:rsidR="009819AB" w:rsidRPr="008F3795" w:rsidRDefault="009819AB" w:rsidP="00F85197">
      <w:pPr>
        <w:spacing w:after="20"/>
        <w:jc w:val="both"/>
        <w:rPr>
          <w:sz w:val="16"/>
          <w:szCs w:val="16"/>
        </w:rPr>
      </w:pPr>
    </w:p>
    <w:p w:rsidR="009819AB" w:rsidRPr="008F3795" w:rsidRDefault="005B4B4D" w:rsidP="00F85197">
      <w:pPr>
        <w:pStyle w:val="Heading4"/>
        <w:spacing w:before="0" w:after="20"/>
        <w:ind w:firstLine="708"/>
      </w:pPr>
      <w:r w:rsidRPr="008F3795">
        <w:t xml:space="preserve">Exclusion du monde du travail et pauvreté </w:t>
      </w:r>
    </w:p>
    <w:p w:rsidR="009956A7" w:rsidRPr="00FB44E3" w:rsidRDefault="009956A7" w:rsidP="009956A7">
      <w:pPr>
        <w:spacing w:after="20"/>
        <w:jc w:val="both"/>
        <w:rPr>
          <w:sz w:val="16"/>
          <w:szCs w:val="16"/>
        </w:rPr>
      </w:pPr>
    </w:p>
    <w:p w:rsidR="005D5445" w:rsidRPr="009956A7" w:rsidRDefault="009956A7" w:rsidP="00F85197">
      <w:pPr>
        <w:spacing w:after="20"/>
        <w:jc w:val="both"/>
      </w:pPr>
      <w:r w:rsidRPr="008F3795">
        <w:t>Parmi les bénéficiaires de l’AAH, seuls 20% des personnes travaillent, y compris en milieu protégé.</w:t>
      </w:r>
    </w:p>
    <w:p w:rsidR="009819AB" w:rsidRPr="008F3795" w:rsidRDefault="00497002" w:rsidP="00F85197">
      <w:pPr>
        <w:spacing w:after="20"/>
        <w:jc w:val="both"/>
      </w:pPr>
      <w:r w:rsidRPr="008F3795">
        <w:t>Le</w:t>
      </w:r>
      <w:r w:rsidR="009819AB" w:rsidRPr="008F3795">
        <w:t xml:space="preserve"> taux de chômage des personnes en situation de handicap est bien supérieur au taux de chômage ordinaire</w:t>
      </w:r>
      <w:r w:rsidR="009956A7">
        <w:t xml:space="preserve">, </w:t>
      </w:r>
      <w:r w:rsidR="009819AB" w:rsidRPr="008F3795">
        <w:t xml:space="preserve">et </w:t>
      </w:r>
      <w:r w:rsidRPr="008F3795">
        <w:t xml:space="preserve">il </w:t>
      </w:r>
      <w:r w:rsidR="009819AB" w:rsidRPr="008F3795">
        <w:t>l’est d’autant plus pour les femmes</w:t>
      </w:r>
      <w:r w:rsidR="00F15625">
        <w:t xml:space="preserve"> </w:t>
      </w:r>
      <w:r w:rsidRPr="008F3795">
        <w:t xml:space="preserve">– </w:t>
      </w:r>
      <w:r w:rsidR="00F15625">
        <w:t>sans oublier</w:t>
      </w:r>
      <w:r w:rsidRPr="008F3795">
        <w:t xml:space="preserve"> </w:t>
      </w:r>
      <w:r w:rsidR="009819AB" w:rsidRPr="008F3795">
        <w:t xml:space="preserve">qu’une personne handicapée </w:t>
      </w:r>
      <w:r w:rsidR="00981198" w:rsidRPr="008F3795">
        <w:t>en recherche d’</w:t>
      </w:r>
      <w:r w:rsidR="009819AB" w:rsidRPr="008F3795">
        <w:t>emploi reste</w:t>
      </w:r>
      <w:r w:rsidR="00981198" w:rsidRPr="008F3795">
        <w:t xml:space="preserve"> </w:t>
      </w:r>
      <w:r w:rsidR="009819AB" w:rsidRPr="008F3795">
        <w:t>plus longtemps au chômage.</w:t>
      </w:r>
    </w:p>
    <w:p w:rsidR="009819AB" w:rsidRPr="00FB44E3" w:rsidRDefault="009819AB" w:rsidP="00F85197">
      <w:pPr>
        <w:spacing w:after="20"/>
        <w:jc w:val="both"/>
        <w:rPr>
          <w:sz w:val="16"/>
          <w:szCs w:val="16"/>
        </w:rPr>
      </w:pPr>
    </w:p>
    <w:tbl>
      <w:tblPr>
        <w:tblStyle w:val="GridTable1Light-Accent1"/>
        <w:tblpPr w:leftFromText="141" w:rightFromText="141" w:vertAnchor="text" w:horzAnchor="margin" w:tblpY="735"/>
        <w:tblW w:w="0" w:type="auto"/>
        <w:tblLook w:val="04A0" w:firstRow="1" w:lastRow="0" w:firstColumn="1" w:lastColumn="0" w:noHBand="0" w:noVBand="1"/>
      </w:tblPr>
      <w:tblGrid>
        <w:gridCol w:w="9062"/>
      </w:tblGrid>
      <w:tr w:rsidR="00FB44E3" w:rsidTr="00F15625">
        <w:trPr>
          <w:cnfStyle w:val="100000000000" w:firstRow="1" w:lastRow="0" w:firstColumn="0" w:lastColumn="0" w:oddVBand="0" w:evenVBand="0" w:oddHBand="0" w:evenHBand="0" w:firstRowFirstColumn="0" w:firstRowLastColumn="0" w:lastRowFirstColumn="0" w:lastRowLastColumn="0"/>
          <w:trHeight w:val="2684"/>
        </w:trPr>
        <w:tc>
          <w:tcPr>
            <w:cnfStyle w:val="001000000000" w:firstRow="0" w:lastRow="0" w:firstColumn="1" w:lastColumn="0" w:oddVBand="0" w:evenVBand="0" w:oddHBand="0" w:evenHBand="0" w:firstRowFirstColumn="0" w:firstRowLastColumn="0" w:lastRowFirstColumn="0" w:lastRowLastColumn="0"/>
            <w:tcW w:w="9062" w:type="dxa"/>
            <w:shd w:val="clear" w:color="auto" w:fill="F2F7FC"/>
          </w:tcPr>
          <w:p w:rsidR="00FB44E3" w:rsidRDefault="00FB44E3" w:rsidP="00FB44E3">
            <w:pPr>
              <w:pStyle w:val="Heading7"/>
              <w:spacing w:before="0" w:after="20" w:line="259" w:lineRule="auto"/>
              <w:outlineLvl w:val="6"/>
            </w:pPr>
            <w:r w:rsidRPr="00F2623F">
              <w:rPr>
                <w:rStyle w:val="Emphasis"/>
                <w:i/>
                <w:iCs/>
              </w:rPr>
              <w:t>Recommandations</w:t>
            </w:r>
            <w:r>
              <w:t> </w:t>
            </w:r>
          </w:p>
          <w:p w:rsidR="00FB44E3" w:rsidRPr="00FB44E3" w:rsidRDefault="00FB44E3" w:rsidP="00FB44E3">
            <w:pPr>
              <w:rPr>
                <w:sz w:val="10"/>
                <w:szCs w:val="10"/>
                <w:lang w:eastAsia="en-GB"/>
              </w:rPr>
            </w:pPr>
          </w:p>
          <w:p w:rsidR="00FB44E3" w:rsidRPr="000011BA" w:rsidRDefault="00FB44E3" w:rsidP="00FB44E3">
            <w:pPr>
              <w:pStyle w:val="ListParagraph"/>
              <w:widowControl w:val="0"/>
              <w:numPr>
                <w:ilvl w:val="0"/>
                <w:numId w:val="5"/>
              </w:numPr>
              <w:autoSpaceDE w:val="0"/>
              <w:autoSpaceDN w:val="0"/>
              <w:spacing w:after="20" w:line="259" w:lineRule="auto"/>
              <w:ind w:right="113"/>
              <w:contextualSpacing w:val="0"/>
              <w:jc w:val="both"/>
            </w:pPr>
            <w:r w:rsidRPr="00A41F3A">
              <w:t>Créer un revenu individuel d’existence.</w:t>
            </w:r>
          </w:p>
          <w:p w:rsidR="00FB44E3" w:rsidRPr="008F2E55" w:rsidRDefault="00FB44E3" w:rsidP="00FB44E3">
            <w:pPr>
              <w:pStyle w:val="ListParagraph"/>
              <w:widowControl w:val="0"/>
              <w:numPr>
                <w:ilvl w:val="0"/>
                <w:numId w:val="5"/>
              </w:numPr>
              <w:autoSpaceDE w:val="0"/>
              <w:autoSpaceDN w:val="0"/>
              <w:spacing w:after="20" w:line="259" w:lineRule="auto"/>
              <w:ind w:right="113"/>
              <w:contextualSpacing w:val="0"/>
              <w:jc w:val="both"/>
            </w:pPr>
            <w:r w:rsidRPr="00191561">
              <w:t>Déconnecter les ressources octroyées aux</w:t>
            </w:r>
            <w:r w:rsidRPr="00591F1A">
              <w:t xml:space="preserve"> personnes handicapées </w:t>
            </w:r>
            <w:r>
              <w:t>de celles</w:t>
            </w:r>
            <w:r w:rsidRPr="00591F1A">
              <w:t xml:space="preserve"> du conjoint</w:t>
            </w:r>
            <w:r>
              <w:t xml:space="preserve"> et ne pas intégrer le montant de l’AAH et autres financements publics visant à compenser le handicap dans le calcul du plafond de ressources. </w:t>
            </w:r>
          </w:p>
          <w:p w:rsidR="00FB44E3" w:rsidRPr="00591F1A" w:rsidRDefault="00FB44E3" w:rsidP="00FB44E3">
            <w:pPr>
              <w:pStyle w:val="ListParagraph"/>
              <w:widowControl w:val="0"/>
              <w:numPr>
                <w:ilvl w:val="0"/>
                <w:numId w:val="5"/>
              </w:numPr>
              <w:autoSpaceDE w:val="0"/>
              <w:autoSpaceDN w:val="0"/>
              <w:spacing w:after="20" w:line="259" w:lineRule="auto"/>
              <w:ind w:right="113"/>
              <w:contextualSpacing w:val="0"/>
              <w:jc w:val="both"/>
            </w:pPr>
            <w:r>
              <w:t>Prévoir la</w:t>
            </w:r>
            <w:r w:rsidRPr="00591F1A">
              <w:t xml:space="preserve"> mise en place d’un droit à compensation intégral</w:t>
            </w:r>
            <w:r>
              <w:t>.</w:t>
            </w:r>
          </w:p>
          <w:p w:rsidR="00FB44E3" w:rsidRPr="00FB44E3" w:rsidRDefault="00FB44E3" w:rsidP="00FB44E3">
            <w:pPr>
              <w:pStyle w:val="ListParagraph"/>
              <w:widowControl w:val="0"/>
              <w:numPr>
                <w:ilvl w:val="0"/>
                <w:numId w:val="5"/>
              </w:numPr>
              <w:autoSpaceDE w:val="0"/>
              <w:autoSpaceDN w:val="0"/>
              <w:spacing w:after="20" w:line="259" w:lineRule="auto"/>
              <w:ind w:right="113"/>
              <w:contextualSpacing w:val="0"/>
              <w:jc w:val="both"/>
            </w:pPr>
            <w:r>
              <w:t>Réformer l</w:t>
            </w:r>
            <w:r w:rsidRPr="00591F1A">
              <w:t>e système de financement de l’aide et de l’accompagnement</w:t>
            </w:r>
            <w:r>
              <w:t xml:space="preserve"> (possibilité d’une vie à domicile si la personne en situation de handicap en exprime le choix).</w:t>
            </w:r>
          </w:p>
        </w:tc>
      </w:tr>
    </w:tbl>
    <w:p w:rsidR="008F2E55" w:rsidRPr="00E73EE8" w:rsidRDefault="009819AB" w:rsidP="00E73EE8">
      <w:pPr>
        <w:widowControl w:val="0"/>
        <w:autoSpaceDE w:val="0"/>
        <w:autoSpaceDN w:val="0"/>
        <w:spacing w:after="20"/>
        <w:ind w:right="113"/>
        <w:jc w:val="both"/>
        <w:rPr>
          <w:b/>
        </w:rPr>
      </w:pPr>
      <w:r w:rsidRPr="00E73EE8">
        <w:rPr>
          <w:b/>
        </w:rPr>
        <w:t xml:space="preserve">En conclusion, la précarité, réalité quotidienne pour </w:t>
      </w:r>
      <w:r w:rsidR="008F2E55" w:rsidRPr="00E73EE8">
        <w:rPr>
          <w:b/>
        </w:rPr>
        <w:t>de nombreuses</w:t>
      </w:r>
      <w:r w:rsidRPr="00E73EE8">
        <w:rPr>
          <w:b/>
        </w:rPr>
        <w:t xml:space="preserve"> personnes handicapée</w:t>
      </w:r>
      <w:r w:rsidR="00981198" w:rsidRPr="00E73EE8">
        <w:rPr>
          <w:b/>
        </w:rPr>
        <w:t>s,</w:t>
      </w:r>
      <w:r w:rsidRPr="00E73EE8">
        <w:rPr>
          <w:b/>
        </w:rPr>
        <w:t xml:space="preserve"> est incompatible avec le projet de société inclusive et creuse les inégalités sociales et territoriales. </w:t>
      </w:r>
    </w:p>
    <w:p w:rsidR="006A43A5" w:rsidRPr="001F6361" w:rsidRDefault="006A43A5" w:rsidP="007227BF">
      <w:pPr>
        <w:pStyle w:val="Heading3"/>
      </w:pPr>
      <w:bookmarkStart w:id="63" w:name="_Toc29546078"/>
      <w:r w:rsidRPr="001F6361">
        <w:t xml:space="preserve">Article </w:t>
      </w:r>
      <w:r>
        <w:t>29</w:t>
      </w:r>
      <w:r w:rsidRPr="001F6361">
        <w:t xml:space="preserve"> – Participation à la vie </w:t>
      </w:r>
      <w:r>
        <w:t>politique et à la vie publique</w:t>
      </w:r>
      <w:bookmarkEnd w:id="63"/>
      <w:r>
        <w:t xml:space="preserve"> </w:t>
      </w:r>
    </w:p>
    <w:p w:rsidR="006A43A5" w:rsidRDefault="006A43A5" w:rsidP="00F85197">
      <w:pPr>
        <w:spacing w:after="20"/>
      </w:pPr>
    </w:p>
    <w:p w:rsidR="00383E57" w:rsidRDefault="00383E57" w:rsidP="00F85197">
      <w:pPr>
        <w:spacing w:after="20"/>
        <w:rPr>
          <w:i/>
        </w:rPr>
      </w:pPr>
    </w:p>
    <w:p w:rsidR="00240941" w:rsidRPr="00472066" w:rsidRDefault="00240941" w:rsidP="00383E57">
      <w:pPr>
        <w:spacing w:after="20"/>
        <w:jc w:val="both"/>
        <w:rPr>
          <w:i/>
        </w:rPr>
      </w:pPr>
      <w:r w:rsidRPr="00A41F3A">
        <w:rPr>
          <w:i/>
        </w:rPr>
        <w:t xml:space="preserve">Cf. </w:t>
      </w:r>
      <w:r w:rsidR="00857D98">
        <w:rPr>
          <w:i/>
        </w:rPr>
        <w:t xml:space="preserve">article 12 – reconnaissance de la personnalité juridique dans des conditions d’égalité qui traite de </w:t>
      </w:r>
      <w:r w:rsidR="00C746FF">
        <w:rPr>
          <w:i/>
        </w:rPr>
        <w:t>l’éligibilité.</w:t>
      </w:r>
    </w:p>
    <w:p w:rsidR="00240941" w:rsidRDefault="00240941" w:rsidP="00F85197">
      <w:pPr>
        <w:spacing w:after="20"/>
        <w:rPr>
          <w:i/>
        </w:rPr>
      </w:pPr>
    </w:p>
    <w:p w:rsidR="0084325F" w:rsidRPr="00A41F3A" w:rsidRDefault="0084325F" w:rsidP="00F85197">
      <w:pPr>
        <w:spacing w:after="20"/>
        <w:rPr>
          <w:i/>
        </w:rPr>
      </w:pPr>
    </w:p>
    <w:tbl>
      <w:tblPr>
        <w:tblStyle w:val="GridTable1Light-Accent1"/>
        <w:tblW w:w="0" w:type="auto"/>
        <w:tblLook w:val="04A0" w:firstRow="1" w:lastRow="0" w:firstColumn="1" w:lastColumn="0" w:noHBand="0" w:noVBand="1"/>
      </w:tblPr>
      <w:tblGrid>
        <w:gridCol w:w="9062"/>
      </w:tblGrid>
      <w:tr w:rsidR="006A43A5" w:rsidTr="00A41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F2F7FC"/>
          </w:tcPr>
          <w:p w:rsidR="006A43A5" w:rsidRDefault="006A43A5" w:rsidP="00F85197">
            <w:pPr>
              <w:pStyle w:val="Heading7"/>
              <w:spacing w:before="0" w:after="20" w:line="259" w:lineRule="auto"/>
              <w:outlineLvl w:val="6"/>
            </w:pPr>
            <w:bookmarkStart w:id="64" w:name="_Toc20128146"/>
            <w:r w:rsidRPr="00F2623F">
              <w:rPr>
                <w:rStyle w:val="Emphasis"/>
                <w:i/>
                <w:iCs/>
              </w:rPr>
              <w:lastRenderedPageBreak/>
              <w:t>Recommandations</w:t>
            </w:r>
            <w:bookmarkEnd w:id="64"/>
            <w:r w:rsidRPr="00224A7C">
              <w:t> </w:t>
            </w:r>
          </w:p>
          <w:p w:rsidR="0029733C" w:rsidRPr="0029733C" w:rsidRDefault="0029733C" w:rsidP="0029733C">
            <w:pPr>
              <w:rPr>
                <w:lang w:eastAsia="en-GB"/>
              </w:rPr>
            </w:pPr>
          </w:p>
          <w:p w:rsidR="00346B64" w:rsidRPr="00224A7C" w:rsidRDefault="00346B64" w:rsidP="00027EF9">
            <w:pPr>
              <w:pStyle w:val="ListParagraph"/>
              <w:widowControl w:val="0"/>
              <w:numPr>
                <w:ilvl w:val="0"/>
                <w:numId w:val="5"/>
              </w:numPr>
              <w:autoSpaceDE w:val="0"/>
              <w:autoSpaceDN w:val="0"/>
              <w:spacing w:after="20" w:line="259" w:lineRule="auto"/>
              <w:ind w:right="113"/>
              <w:contextualSpacing w:val="0"/>
              <w:jc w:val="both"/>
            </w:pPr>
            <w:r w:rsidRPr="00224A7C">
              <w:t>Retirer la déclaration</w:t>
            </w:r>
            <w:r w:rsidR="00A80BBC">
              <w:t xml:space="preserve"> interprétative de l’Etat</w:t>
            </w:r>
            <w:r w:rsidRPr="00224A7C">
              <w:t xml:space="preserve"> concernant l’article 29</w:t>
            </w:r>
            <w:r w:rsidR="00A80BBC">
              <w:t xml:space="preserve"> de la Convention.</w:t>
            </w:r>
          </w:p>
          <w:p w:rsidR="00346B64" w:rsidRPr="00224A7C" w:rsidRDefault="00E73EE8" w:rsidP="00027EF9">
            <w:pPr>
              <w:pStyle w:val="ListParagraph"/>
              <w:widowControl w:val="0"/>
              <w:numPr>
                <w:ilvl w:val="0"/>
                <w:numId w:val="5"/>
              </w:numPr>
              <w:autoSpaceDE w:val="0"/>
              <w:autoSpaceDN w:val="0"/>
              <w:spacing w:after="20" w:line="259" w:lineRule="auto"/>
              <w:ind w:right="113"/>
              <w:contextualSpacing w:val="0"/>
              <w:jc w:val="both"/>
            </w:pPr>
            <w:r>
              <w:t>G</w:t>
            </w:r>
            <w:r w:rsidR="00346B64" w:rsidRPr="00224A7C">
              <w:t>arantir le droit d’être élues des personnes handicapées</w:t>
            </w:r>
            <w:r>
              <w:t>, y compris sous tutelle ou curatelle renforcée</w:t>
            </w:r>
            <w:r w:rsidR="00346B64" w:rsidRPr="00224A7C">
              <w:t>.</w:t>
            </w:r>
          </w:p>
          <w:p w:rsidR="00346B64" w:rsidRPr="00224A7C" w:rsidRDefault="00B7000E" w:rsidP="00027EF9">
            <w:pPr>
              <w:pStyle w:val="ListParagraph"/>
              <w:widowControl w:val="0"/>
              <w:numPr>
                <w:ilvl w:val="0"/>
                <w:numId w:val="5"/>
              </w:numPr>
              <w:autoSpaceDE w:val="0"/>
              <w:autoSpaceDN w:val="0"/>
              <w:spacing w:after="20" w:line="259" w:lineRule="auto"/>
              <w:ind w:right="113"/>
              <w:contextualSpacing w:val="0"/>
              <w:jc w:val="both"/>
            </w:pPr>
            <w:r w:rsidRPr="00224A7C">
              <w:t>R</w:t>
            </w:r>
            <w:r w:rsidR="00346B64" w:rsidRPr="00224A7C">
              <w:t>enforcer</w:t>
            </w:r>
            <w:r w:rsidRPr="00224A7C">
              <w:t xml:space="preserve"> </w:t>
            </w:r>
            <w:r w:rsidR="00346B64" w:rsidRPr="00224A7C">
              <w:t>la législation et la règlementation en matière d’accessibilité des opérations électorales</w:t>
            </w:r>
            <w:r w:rsidRPr="00224A7C">
              <w:t xml:space="preserve"> et former les parties prenantes du système électoral.</w:t>
            </w:r>
          </w:p>
          <w:p w:rsidR="006A43A5" w:rsidRPr="00224A7C" w:rsidRDefault="00DA5B5D" w:rsidP="00027EF9">
            <w:pPr>
              <w:pStyle w:val="ListParagraph"/>
              <w:widowControl w:val="0"/>
              <w:numPr>
                <w:ilvl w:val="0"/>
                <w:numId w:val="5"/>
              </w:numPr>
              <w:autoSpaceDE w:val="0"/>
              <w:autoSpaceDN w:val="0"/>
              <w:spacing w:after="20" w:line="259" w:lineRule="auto"/>
              <w:ind w:right="113"/>
              <w:contextualSpacing w:val="0"/>
              <w:jc w:val="both"/>
            </w:pPr>
            <w:r w:rsidRPr="00224A7C">
              <w:t>Éliminer</w:t>
            </w:r>
            <w:r w:rsidR="00346B64" w:rsidRPr="00224A7C">
              <w:t xml:space="preserve"> les obstacles à une effective et pleine participation des personnes handicapées à la conduite des affaires publiques.</w:t>
            </w:r>
          </w:p>
          <w:p w:rsidR="006A43A5" w:rsidRDefault="006A43A5" w:rsidP="00F85197">
            <w:pPr>
              <w:spacing w:after="20" w:line="259" w:lineRule="auto"/>
              <w:jc w:val="both"/>
            </w:pPr>
          </w:p>
        </w:tc>
      </w:tr>
    </w:tbl>
    <w:p w:rsidR="006A43A5" w:rsidRDefault="006A43A5" w:rsidP="00F85197">
      <w:pPr>
        <w:spacing w:after="20"/>
      </w:pPr>
    </w:p>
    <w:p w:rsidR="008A6440" w:rsidRDefault="008A6440" w:rsidP="00F85197">
      <w:pPr>
        <w:spacing w:after="20"/>
        <w:rPr>
          <w:rFonts w:asciiTheme="majorHAnsi" w:eastAsiaTheme="majorEastAsia" w:hAnsiTheme="majorHAnsi" w:cstheme="majorBidi"/>
          <w:b/>
          <w:i/>
          <w:color w:val="2F5496" w:themeColor="accent5" w:themeShade="BF"/>
          <w:sz w:val="26"/>
          <w:lang w:eastAsia="en-GB"/>
        </w:rPr>
      </w:pPr>
      <w:r>
        <w:br w:type="page"/>
      </w:r>
    </w:p>
    <w:p w:rsidR="00B6675D" w:rsidRPr="001F6361" w:rsidRDefault="00B6675D" w:rsidP="007227BF">
      <w:pPr>
        <w:pStyle w:val="Heading3"/>
      </w:pPr>
      <w:bookmarkStart w:id="65" w:name="_Toc29546079"/>
      <w:r w:rsidRPr="001F6361">
        <w:lastRenderedPageBreak/>
        <w:t>Article 30 – Participation à la vie culturelle et récréative, aux loisirs et aux sports</w:t>
      </w:r>
      <w:bookmarkEnd w:id="65"/>
      <w:r w:rsidRPr="001F6361">
        <w:t xml:space="preserve"> </w:t>
      </w:r>
    </w:p>
    <w:p w:rsidR="00B6675D" w:rsidRPr="00FD1904" w:rsidRDefault="00B6675D" w:rsidP="00F85197">
      <w:pPr>
        <w:spacing w:after="20"/>
        <w:jc w:val="both"/>
        <w:rPr>
          <w:sz w:val="18"/>
          <w:szCs w:val="18"/>
        </w:rPr>
      </w:pPr>
    </w:p>
    <w:p w:rsidR="00B6675D" w:rsidRDefault="00B6675D" w:rsidP="00F85197">
      <w:pPr>
        <w:spacing w:after="20"/>
        <w:jc w:val="both"/>
      </w:pPr>
      <w:r>
        <w:t xml:space="preserve">Pour participer pleinement à la vie sociale, toute personne handicapée doit bénéficier d'un réel accès à la diversité des pratiques. </w:t>
      </w:r>
    </w:p>
    <w:p w:rsidR="00B6675D" w:rsidRPr="00383E57" w:rsidRDefault="00B6675D" w:rsidP="00F85197">
      <w:pPr>
        <w:autoSpaceDE w:val="0"/>
        <w:autoSpaceDN w:val="0"/>
        <w:adjustRightInd w:val="0"/>
        <w:spacing w:after="20"/>
        <w:jc w:val="both"/>
        <w:rPr>
          <w:rFonts w:ascii="Calibri" w:hAnsi="Calibri" w:cs="Calibri"/>
          <w:color w:val="000000"/>
          <w:sz w:val="16"/>
          <w:szCs w:val="16"/>
        </w:rPr>
      </w:pPr>
    </w:p>
    <w:p w:rsidR="00B6675D" w:rsidRPr="00BE7A5B" w:rsidRDefault="00B6675D" w:rsidP="00F85197">
      <w:pPr>
        <w:pStyle w:val="Heading6"/>
        <w:spacing w:before="0" w:after="20"/>
        <w:rPr>
          <w:u w:val="single"/>
        </w:rPr>
      </w:pPr>
      <w:r w:rsidRPr="00BE7A5B">
        <w:rPr>
          <w:u w:val="single"/>
        </w:rPr>
        <w:t>Participation à la vie culturelle et récréative</w:t>
      </w:r>
    </w:p>
    <w:p w:rsidR="00B6675D" w:rsidRPr="00383E57" w:rsidRDefault="00B6675D" w:rsidP="00F85197">
      <w:pPr>
        <w:spacing w:after="20"/>
        <w:jc w:val="both"/>
        <w:rPr>
          <w:rFonts w:ascii="Calibri" w:hAnsi="Calibri" w:cs="Calibri"/>
          <w:color w:val="000000"/>
          <w:sz w:val="16"/>
          <w:szCs w:val="16"/>
        </w:rPr>
      </w:pPr>
    </w:p>
    <w:p w:rsidR="00B6675D" w:rsidRPr="008F3795" w:rsidRDefault="00B6675D" w:rsidP="00F85197">
      <w:pPr>
        <w:spacing w:after="20"/>
        <w:jc w:val="both"/>
        <w:rPr>
          <w:rFonts w:cstheme="minorHAnsi"/>
        </w:rPr>
      </w:pPr>
      <w:r>
        <w:t>Concernant le cadre législatif, même si diverses lois abordent les droits culturels, peu de</w:t>
      </w:r>
      <w:r w:rsidRPr="00A616E0">
        <w:rPr>
          <w:b/>
        </w:rPr>
        <w:t xml:space="preserve"> mesures </w:t>
      </w:r>
      <w:r w:rsidRPr="008F3795">
        <w:rPr>
          <w:rFonts w:cstheme="minorHAnsi"/>
          <w:b/>
        </w:rPr>
        <w:t>règlementaires</w:t>
      </w:r>
      <w:r w:rsidR="0024799C" w:rsidRPr="008F3795">
        <w:rPr>
          <w:rFonts w:cstheme="minorHAnsi"/>
          <w:b/>
          <w:color w:val="3366FF"/>
        </w:rPr>
        <w:t xml:space="preserve"> </w:t>
      </w:r>
      <w:r w:rsidR="0024799C" w:rsidRPr="008F3795">
        <w:rPr>
          <w:rFonts w:cstheme="minorHAnsi"/>
          <w:b/>
        </w:rPr>
        <w:t xml:space="preserve">et normatives </w:t>
      </w:r>
      <w:r w:rsidR="00A43B18" w:rsidRPr="008F3795">
        <w:rPr>
          <w:rFonts w:cstheme="minorHAnsi"/>
        </w:rPr>
        <w:t>– tant</w:t>
      </w:r>
      <w:r w:rsidR="0024799C" w:rsidRPr="008F3795">
        <w:rPr>
          <w:rFonts w:cstheme="minorHAnsi"/>
        </w:rPr>
        <w:t xml:space="preserve"> </w:t>
      </w:r>
      <w:r w:rsidR="00F15625">
        <w:rPr>
          <w:rFonts w:cstheme="minorHAnsi"/>
        </w:rPr>
        <w:t>vis-à-vis des</w:t>
      </w:r>
      <w:r w:rsidR="0024799C" w:rsidRPr="008F3795">
        <w:rPr>
          <w:rFonts w:cstheme="minorHAnsi"/>
        </w:rPr>
        <w:t xml:space="preserve"> acteurs culturels, éducatifs </w:t>
      </w:r>
      <w:r w:rsidR="008F3795" w:rsidRPr="008F3795">
        <w:rPr>
          <w:rFonts w:cstheme="minorHAnsi"/>
        </w:rPr>
        <w:t xml:space="preserve">que </w:t>
      </w:r>
      <w:r w:rsidR="00F15625">
        <w:rPr>
          <w:rFonts w:cstheme="minorHAnsi"/>
        </w:rPr>
        <w:t>des</w:t>
      </w:r>
      <w:r w:rsidR="008F3795" w:rsidRPr="008F3795">
        <w:rPr>
          <w:rFonts w:cstheme="minorHAnsi"/>
        </w:rPr>
        <w:t xml:space="preserve"> ESMS </w:t>
      </w:r>
      <w:r w:rsidR="00A43B18" w:rsidRPr="008F3795">
        <w:rPr>
          <w:rFonts w:cstheme="minorHAnsi"/>
        </w:rPr>
        <w:t>– précisent</w:t>
      </w:r>
      <w:r w:rsidRPr="008F3795">
        <w:rPr>
          <w:rFonts w:cstheme="minorHAnsi"/>
        </w:rPr>
        <w:t xml:space="preserve"> les modalités d’application des lois permettant de rendre leur exercice effectif.</w:t>
      </w:r>
    </w:p>
    <w:p w:rsidR="00B6675D" w:rsidRPr="008F3795" w:rsidRDefault="00B6675D" w:rsidP="00F85197">
      <w:pPr>
        <w:autoSpaceDE w:val="0"/>
        <w:autoSpaceDN w:val="0"/>
        <w:adjustRightInd w:val="0"/>
        <w:spacing w:after="20"/>
        <w:jc w:val="both"/>
        <w:rPr>
          <w:rFonts w:cstheme="minorHAnsi"/>
          <w:b/>
          <w:color w:val="000000"/>
        </w:rPr>
      </w:pPr>
      <w:r w:rsidRPr="008F3795">
        <w:rPr>
          <w:rFonts w:cstheme="minorHAnsi"/>
          <w:color w:val="000000"/>
        </w:rPr>
        <w:t xml:space="preserve">De plus, le cadre législatif n’est pas satisfaisant concernant la </w:t>
      </w:r>
      <w:r w:rsidRPr="008F3795">
        <w:rPr>
          <w:rFonts w:cstheme="minorHAnsi"/>
          <w:b/>
          <w:color w:val="000000"/>
        </w:rPr>
        <w:t>possibilité d’autodétermination des personnes</w:t>
      </w:r>
      <w:r w:rsidRPr="008F3795">
        <w:rPr>
          <w:rFonts w:cstheme="minorHAnsi"/>
          <w:color w:val="000000"/>
        </w:rPr>
        <w:t>, le libre choix dans leurs pratiques culturelles et la protection de leurs</w:t>
      </w:r>
      <w:r w:rsidRPr="008F3795">
        <w:rPr>
          <w:rFonts w:cstheme="minorHAnsi"/>
          <w:b/>
          <w:color w:val="000000"/>
        </w:rPr>
        <w:t xml:space="preserve"> droits d’auteurs. </w:t>
      </w:r>
    </w:p>
    <w:p w:rsidR="00B6675D" w:rsidRPr="008F3795" w:rsidRDefault="00B6675D" w:rsidP="00F85197">
      <w:pPr>
        <w:autoSpaceDE w:val="0"/>
        <w:autoSpaceDN w:val="0"/>
        <w:adjustRightInd w:val="0"/>
        <w:spacing w:after="20"/>
        <w:jc w:val="both"/>
        <w:rPr>
          <w:rFonts w:cstheme="minorHAnsi"/>
          <w:color w:val="000000"/>
        </w:rPr>
      </w:pPr>
      <w:r w:rsidRPr="008F3795">
        <w:rPr>
          <w:rFonts w:cstheme="minorHAnsi"/>
          <w:color w:val="000000"/>
        </w:rPr>
        <w:t xml:space="preserve">Finalement on constate de nombreuses disparités dans l’application des lois </w:t>
      </w:r>
      <w:r w:rsidR="00887680" w:rsidRPr="008F3795">
        <w:rPr>
          <w:rFonts w:cstheme="minorHAnsi"/>
          <w:color w:val="000000"/>
        </w:rPr>
        <w:t xml:space="preserve">selon </w:t>
      </w:r>
      <w:r w:rsidRPr="008F3795">
        <w:rPr>
          <w:rFonts w:cstheme="minorHAnsi"/>
          <w:color w:val="000000"/>
        </w:rPr>
        <w:t xml:space="preserve">les territoires, constituant une rupture d’égalité. </w:t>
      </w:r>
    </w:p>
    <w:p w:rsidR="00B6675D" w:rsidRPr="00383E57" w:rsidRDefault="00B6675D" w:rsidP="00F85197">
      <w:pPr>
        <w:autoSpaceDE w:val="0"/>
        <w:autoSpaceDN w:val="0"/>
        <w:adjustRightInd w:val="0"/>
        <w:spacing w:after="20"/>
        <w:jc w:val="both"/>
        <w:rPr>
          <w:rFonts w:ascii="Calibri" w:hAnsi="Calibri" w:cs="Calibri"/>
          <w:b/>
          <w:color w:val="000000"/>
          <w:sz w:val="16"/>
          <w:szCs w:val="16"/>
        </w:rPr>
      </w:pPr>
    </w:p>
    <w:p w:rsidR="00B6675D" w:rsidRPr="008B377F" w:rsidRDefault="00A545DC" w:rsidP="00F85197">
      <w:pPr>
        <w:spacing w:after="20"/>
        <w:jc w:val="both"/>
      </w:pPr>
      <w:r>
        <w:t>L</w:t>
      </w:r>
      <w:r w:rsidR="00B6675D" w:rsidRPr="008B377F">
        <w:t>a France, riche d’équipements</w:t>
      </w:r>
      <w:r w:rsidR="00887680">
        <w:t xml:space="preserve">, </w:t>
      </w:r>
      <w:r w:rsidR="00B6675D" w:rsidRPr="008B377F">
        <w:t>de services culturels et de loisirs, connaît deux catégories de citoyens</w:t>
      </w:r>
      <w:r>
        <w:t> :</w:t>
      </w:r>
      <w:r w:rsidR="00B6675D" w:rsidRPr="008B377F">
        <w:t xml:space="preserve"> ceux qui peuvent accéder à la vie culturelle dans le cadre du droit commun, et ceux, </w:t>
      </w:r>
      <w:r w:rsidR="00B6675D" w:rsidRPr="002716DC">
        <w:rPr>
          <w:b/>
        </w:rPr>
        <w:t>majoritairement les personnes handicapées et âgées en perte d’autonomie, qui dépendent de l’existence éventuelle de projet à leur intention</w:t>
      </w:r>
      <w:r w:rsidR="00B6675D" w:rsidRPr="008B377F">
        <w:t>.</w:t>
      </w:r>
    </w:p>
    <w:p w:rsidR="00B6675D" w:rsidRPr="00383E57" w:rsidRDefault="00B6675D" w:rsidP="00F85197">
      <w:pPr>
        <w:spacing w:after="20"/>
        <w:jc w:val="both"/>
        <w:rPr>
          <w:sz w:val="16"/>
          <w:szCs w:val="16"/>
        </w:rPr>
      </w:pPr>
    </w:p>
    <w:p w:rsidR="00B6675D" w:rsidRPr="00AA6A40" w:rsidRDefault="00B6675D" w:rsidP="00F85197">
      <w:pPr>
        <w:pStyle w:val="Heading6"/>
        <w:spacing w:before="0" w:after="20"/>
        <w:rPr>
          <w:u w:val="single"/>
        </w:rPr>
      </w:pPr>
      <w:r w:rsidRPr="00AA6A40">
        <w:rPr>
          <w:u w:val="single"/>
        </w:rPr>
        <w:t>Participation aux loisirs et aux sports</w:t>
      </w:r>
      <w:r w:rsidR="00A54336" w:rsidRPr="00AA6A40">
        <w:rPr>
          <w:u w:val="single"/>
        </w:rPr>
        <w:t xml:space="preserve">  </w:t>
      </w:r>
    </w:p>
    <w:p w:rsidR="00B6675D" w:rsidRPr="00383E57" w:rsidRDefault="00B6675D" w:rsidP="00F85197">
      <w:pPr>
        <w:pStyle w:val="Default"/>
        <w:spacing w:after="20" w:line="259" w:lineRule="auto"/>
        <w:jc w:val="both"/>
        <w:rPr>
          <w:rFonts w:asciiTheme="minorHAnsi" w:hAnsiTheme="minorHAnsi" w:cstheme="minorHAnsi"/>
          <w:sz w:val="16"/>
          <w:szCs w:val="16"/>
        </w:rPr>
      </w:pPr>
    </w:p>
    <w:p w:rsidR="00517D59" w:rsidRPr="002716DC" w:rsidRDefault="00517D59" w:rsidP="00F85197">
      <w:pPr>
        <w:pStyle w:val="Heading4"/>
        <w:spacing w:before="0" w:after="20"/>
        <w:ind w:left="284" w:firstLine="360"/>
      </w:pPr>
      <w:r w:rsidRPr="002716DC">
        <w:t xml:space="preserve">Impulsion politique </w:t>
      </w:r>
    </w:p>
    <w:p w:rsidR="002716DC" w:rsidRPr="00383E57" w:rsidRDefault="002716DC" w:rsidP="00F85197">
      <w:pPr>
        <w:spacing w:after="20"/>
        <w:jc w:val="both"/>
        <w:rPr>
          <w:sz w:val="16"/>
          <w:szCs w:val="16"/>
        </w:rPr>
      </w:pPr>
    </w:p>
    <w:p w:rsidR="002716DC" w:rsidRDefault="00B6675D" w:rsidP="00F85197">
      <w:pPr>
        <w:spacing w:after="20"/>
        <w:jc w:val="both"/>
        <w:rPr>
          <w:rFonts w:cstheme="minorHAnsi"/>
        </w:rPr>
      </w:pPr>
      <w:r>
        <w:t xml:space="preserve">Dans un premier temps, le mouvement associatif déplore la faible impulsion émanant des différents ministères en matière de pratiques sportives inclusives. </w:t>
      </w:r>
      <w:r w:rsidR="002716DC">
        <w:t xml:space="preserve">Il n’existe pas de </w:t>
      </w:r>
      <w:r w:rsidR="002716DC" w:rsidRPr="009F7086">
        <w:rPr>
          <w:rFonts w:cstheme="minorHAnsi"/>
        </w:rPr>
        <w:t xml:space="preserve">stratégie de mise en </w:t>
      </w:r>
      <w:r w:rsidR="002716DC">
        <w:rPr>
          <w:rFonts w:cstheme="minorHAnsi"/>
        </w:rPr>
        <w:t xml:space="preserve">œuvre d'une politique inclusive pour éliminer les </w:t>
      </w:r>
      <w:r w:rsidR="00517D59" w:rsidRPr="009F7086">
        <w:rPr>
          <w:rFonts w:cstheme="minorHAnsi"/>
        </w:rPr>
        <w:t xml:space="preserve">obstacles </w:t>
      </w:r>
      <w:r w:rsidR="002716DC">
        <w:rPr>
          <w:rFonts w:cstheme="minorHAnsi"/>
        </w:rPr>
        <w:t>à</w:t>
      </w:r>
      <w:r w:rsidR="00517D59" w:rsidRPr="009F7086">
        <w:rPr>
          <w:rFonts w:cstheme="minorHAnsi"/>
        </w:rPr>
        <w:t xml:space="preserve"> l'accès aux activités sportives et de loisirs</w:t>
      </w:r>
      <w:r w:rsidR="002716DC">
        <w:rPr>
          <w:rFonts w:cstheme="minorHAnsi"/>
        </w:rPr>
        <w:t>.</w:t>
      </w:r>
    </w:p>
    <w:p w:rsidR="00517D59" w:rsidRPr="002F7F9E" w:rsidRDefault="002716DC" w:rsidP="00F85197">
      <w:pPr>
        <w:spacing w:after="20"/>
        <w:jc w:val="both"/>
      </w:pPr>
      <w:r>
        <w:rPr>
          <w:rFonts w:cstheme="minorHAnsi"/>
        </w:rPr>
        <w:lastRenderedPageBreak/>
        <w:t xml:space="preserve">De plus, </w:t>
      </w:r>
      <w:r w:rsidR="00517D59">
        <w:t xml:space="preserve">les financements publics alloués </w:t>
      </w:r>
      <w:r w:rsidR="00A43B18">
        <w:t>aux fédérations handisports</w:t>
      </w:r>
      <w:r w:rsidR="00517D59">
        <w:t xml:space="preserve"> ne les incite</w:t>
      </w:r>
      <w:r w:rsidR="00F15625">
        <w:t>nt</w:t>
      </w:r>
      <w:r w:rsidR="00517D59">
        <w:t xml:space="preserve"> guère à développer des pratiques sportives en milieu ordinaire</w:t>
      </w:r>
      <w:r>
        <w:t>.</w:t>
      </w:r>
      <w:r w:rsidR="00517D59">
        <w:t xml:space="preserve"> </w:t>
      </w:r>
    </w:p>
    <w:p w:rsidR="00B6675D" w:rsidRPr="00383E57" w:rsidRDefault="00B6675D" w:rsidP="00F85197">
      <w:pPr>
        <w:spacing w:after="20"/>
        <w:jc w:val="both"/>
        <w:rPr>
          <w:sz w:val="16"/>
          <w:szCs w:val="16"/>
        </w:rPr>
      </w:pPr>
    </w:p>
    <w:p w:rsidR="00630933" w:rsidRPr="002716DC" w:rsidRDefault="00630933" w:rsidP="00F85197">
      <w:pPr>
        <w:pStyle w:val="Heading4"/>
        <w:spacing w:before="0" w:after="20"/>
        <w:ind w:firstLine="708"/>
      </w:pPr>
      <w:r w:rsidRPr="002716DC">
        <w:t>Accès aux activités sportives</w:t>
      </w:r>
    </w:p>
    <w:p w:rsidR="0067204D" w:rsidRPr="00383E57" w:rsidRDefault="0067204D" w:rsidP="00F85197">
      <w:pPr>
        <w:pStyle w:val="Default"/>
        <w:spacing w:after="20" w:line="259" w:lineRule="auto"/>
        <w:jc w:val="both"/>
        <w:rPr>
          <w:rFonts w:asciiTheme="minorHAnsi" w:hAnsiTheme="minorHAnsi" w:cstheme="minorHAnsi"/>
          <w:sz w:val="16"/>
          <w:szCs w:val="16"/>
        </w:rPr>
      </w:pPr>
    </w:p>
    <w:p w:rsidR="0067204D" w:rsidRDefault="00630933" w:rsidP="00F85197">
      <w:pPr>
        <w:pStyle w:val="Default"/>
        <w:spacing w:after="20" w:line="259" w:lineRule="auto"/>
        <w:jc w:val="both"/>
        <w:rPr>
          <w:rFonts w:asciiTheme="minorHAnsi" w:hAnsiTheme="minorHAnsi" w:cstheme="minorHAnsi"/>
          <w:sz w:val="22"/>
          <w:szCs w:val="22"/>
        </w:rPr>
      </w:pPr>
      <w:r>
        <w:rPr>
          <w:rFonts w:asciiTheme="minorHAnsi" w:hAnsiTheme="minorHAnsi" w:cstheme="minorHAnsi"/>
          <w:sz w:val="22"/>
          <w:szCs w:val="22"/>
        </w:rPr>
        <w:t>La pratique d’une activité sportive pour une personne en situation</w:t>
      </w:r>
      <w:r w:rsidR="00BC788F">
        <w:rPr>
          <w:rFonts w:asciiTheme="minorHAnsi" w:hAnsiTheme="minorHAnsi" w:cstheme="minorHAnsi"/>
          <w:sz w:val="22"/>
          <w:szCs w:val="22"/>
        </w:rPr>
        <w:t xml:space="preserve"> de handicap est très limitée. </w:t>
      </w:r>
      <w:r>
        <w:rPr>
          <w:rFonts w:asciiTheme="minorHAnsi" w:hAnsiTheme="minorHAnsi" w:cstheme="minorHAnsi"/>
          <w:sz w:val="22"/>
          <w:szCs w:val="22"/>
        </w:rPr>
        <w:t>Sous couvert</w:t>
      </w:r>
      <w:r w:rsidR="0067204D">
        <w:rPr>
          <w:rFonts w:asciiTheme="minorHAnsi" w:hAnsiTheme="minorHAnsi" w:cstheme="minorHAnsi"/>
          <w:sz w:val="22"/>
          <w:szCs w:val="22"/>
        </w:rPr>
        <w:t xml:space="preserve"> de « raisons de sécurité » et</w:t>
      </w:r>
      <w:r>
        <w:rPr>
          <w:rFonts w:asciiTheme="minorHAnsi" w:hAnsiTheme="minorHAnsi" w:cstheme="minorHAnsi"/>
          <w:sz w:val="22"/>
          <w:szCs w:val="22"/>
        </w:rPr>
        <w:t xml:space="preserve"> du principe de précaution, les </w:t>
      </w:r>
      <w:r w:rsidR="00BC788F">
        <w:rPr>
          <w:rFonts w:asciiTheme="minorHAnsi" w:hAnsiTheme="minorHAnsi" w:cstheme="minorHAnsi"/>
          <w:sz w:val="22"/>
          <w:szCs w:val="22"/>
        </w:rPr>
        <w:t>personnes handicapées</w:t>
      </w:r>
      <w:r>
        <w:rPr>
          <w:rFonts w:asciiTheme="minorHAnsi" w:hAnsiTheme="minorHAnsi" w:cstheme="minorHAnsi"/>
          <w:sz w:val="22"/>
          <w:szCs w:val="22"/>
        </w:rPr>
        <w:t xml:space="preserve"> se</w:t>
      </w:r>
      <w:r w:rsidR="0067204D">
        <w:rPr>
          <w:rFonts w:asciiTheme="minorHAnsi" w:hAnsiTheme="minorHAnsi" w:cstheme="minorHAnsi"/>
          <w:sz w:val="22"/>
          <w:szCs w:val="22"/>
        </w:rPr>
        <w:t xml:space="preserve"> voient</w:t>
      </w:r>
      <w:r>
        <w:rPr>
          <w:rFonts w:asciiTheme="minorHAnsi" w:hAnsiTheme="minorHAnsi" w:cstheme="minorHAnsi"/>
          <w:sz w:val="22"/>
          <w:szCs w:val="22"/>
        </w:rPr>
        <w:t xml:space="preserve"> </w:t>
      </w:r>
      <w:r w:rsidR="0067204D">
        <w:rPr>
          <w:rFonts w:asciiTheme="minorHAnsi" w:hAnsiTheme="minorHAnsi" w:cstheme="minorHAnsi"/>
          <w:sz w:val="22"/>
          <w:szCs w:val="22"/>
        </w:rPr>
        <w:t xml:space="preserve">très souvent </w:t>
      </w:r>
      <w:r>
        <w:rPr>
          <w:rFonts w:asciiTheme="minorHAnsi" w:hAnsiTheme="minorHAnsi" w:cstheme="minorHAnsi"/>
          <w:sz w:val="22"/>
          <w:szCs w:val="22"/>
        </w:rPr>
        <w:t>oppos</w:t>
      </w:r>
      <w:r w:rsidR="00B95F63">
        <w:rPr>
          <w:rFonts w:asciiTheme="minorHAnsi" w:hAnsiTheme="minorHAnsi" w:cstheme="minorHAnsi"/>
          <w:sz w:val="22"/>
          <w:szCs w:val="22"/>
        </w:rPr>
        <w:t>er</w:t>
      </w:r>
      <w:r>
        <w:rPr>
          <w:rFonts w:asciiTheme="minorHAnsi" w:hAnsiTheme="minorHAnsi" w:cstheme="minorHAnsi"/>
          <w:sz w:val="22"/>
          <w:szCs w:val="22"/>
        </w:rPr>
        <w:t xml:space="preserve"> des </w:t>
      </w:r>
      <w:r w:rsidR="003C44B3">
        <w:rPr>
          <w:rFonts w:asciiTheme="minorHAnsi" w:hAnsiTheme="minorHAnsi" w:cstheme="minorHAnsi"/>
          <w:sz w:val="22"/>
          <w:szCs w:val="22"/>
        </w:rPr>
        <w:t>refus</w:t>
      </w:r>
      <w:r>
        <w:rPr>
          <w:rFonts w:asciiTheme="minorHAnsi" w:hAnsiTheme="minorHAnsi" w:cstheme="minorHAnsi"/>
          <w:sz w:val="22"/>
          <w:szCs w:val="22"/>
        </w:rPr>
        <w:t xml:space="preserve"> </w:t>
      </w:r>
      <w:r w:rsidR="0067204D">
        <w:rPr>
          <w:rFonts w:asciiTheme="minorHAnsi" w:hAnsiTheme="minorHAnsi" w:cstheme="minorHAnsi"/>
          <w:sz w:val="22"/>
          <w:szCs w:val="22"/>
        </w:rPr>
        <w:t xml:space="preserve">de participer à une activité sportive. </w:t>
      </w:r>
    </w:p>
    <w:p w:rsidR="0067204D" w:rsidRDefault="0067204D" w:rsidP="00F85197">
      <w:pPr>
        <w:pStyle w:val="Default"/>
        <w:spacing w:after="20" w:line="259" w:lineRule="auto"/>
        <w:jc w:val="both"/>
        <w:rPr>
          <w:rFonts w:asciiTheme="minorHAnsi" w:hAnsiTheme="minorHAnsi" w:cstheme="minorHAnsi"/>
          <w:sz w:val="22"/>
          <w:szCs w:val="22"/>
        </w:rPr>
      </w:pPr>
      <w:r>
        <w:rPr>
          <w:rFonts w:asciiTheme="minorHAnsi" w:hAnsiTheme="minorHAnsi" w:cstheme="minorHAnsi"/>
          <w:sz w:val="22"/>
          <w:szCs w:val="22"/>
        </w:rPr>
        <w:t xml:space="preserve">Or, un aménagement raisonnable appréciable </w:t>
      </w:r>
      <w:r w:rsidR="00781E78">
        <w:rPr>
          <w:rFonts w:asciiTheme="minorHAnsi" w:hAnsiTheme="minorHAnsi" w:cstheme="minorHAnsi"/>
          <w:sz w:val="22"/>
          <w:szCs w:val="22"/>
        </w:rPr>
        <w:t>à la</w:t>
      </w:r>
      <w:r>
        <w:rPr>
          <w:rFonts w:asciiTheme="minorHAnsi" w:hAnsiTheme="minorHAnsi" w:cstheme="minorHAnsi"/>
          <w:sz w:val="22"/>
          <w:szCs w:val="22"/>
        </w:rPr>
        <w:t xml:space="preserve"> vue de la situation particulière de la personne suffirait à lui permettre d’</w:t>
      </w:r>
      <w:r w:rsidR="00B948A9">
        <w:rPr>
          <w:rFonts w:asciiTheme="minorHAnsi" w:hAnsiTheme="minorHAnsi" w:cstheme="minorHAnsi"/>
          <w:sz w:val="22"/>
          <w:szCs w:val="22"/>
        </w:rPr>
        <w:t>accéder</w:t>
      </w:r>
      <w:r>
        <w:rPr>
          <w:rFonts w:asciiTheme="minorHAnsi" w:hAnsiTheme="minorHAnsi" w:cstheme="minorHAnsi"/>
          <w:sz w:val="22"/>
          <w:szCs w:val="22"/>
        </w:rPr>
        <w:t xml:space="preserve"> à l’activité. </w:t>
      </w:r>
    </w:p>
    <w:p w:rsidR="0067204D" w:rsidRPr="00B948A9" w:rsidRDefault="0067204D" w:rsidP="00F85197">
      <w:pPr>
        <w:pStyle w:val="Default"/>
        <w:spacing w:after="20" w:line="259" w:lineRule="auto"/>
        <w:jc w:val="both"/>
        <w:rPr>
          <w:rFonts w:asciiTheme="minorHAnsi" w:hAnsiTheme="minorHAnsi" w:cstheme="minorHAnsi"/>
          <w:b/>
          <w:sz w:val="22"/>
          <w:szCs w:val="22"/>
        </w:rPr>
      </w:pPr>
      <w:r>
        <w:rPr>
          <w:rFonts w:asciiTheme="minorHAnsi" w:hAnsiTheme="minorHAnsi" w:cstheme="minorHAnsi"/>
          <w:sz w:val="22"/>
          <w:szCs w:val="22"/>
        </w:rPr>
        <w:t>Ainsi</w:t>
      </w:r>
      <w:r w:rsidRPr="00B948A9">
        <w:rPr>
          <w:rFonts w:asciiTheme="minorHAnsi" w:hAnsiTheme="minorHAnsi" w:cstheme="minorHAnsi"/>
          <w:b/>
          <w:sz w:val="22"/>
          <w:szCs w:val="22"/>
        </w:rPr>
        <w:t xml:space="preserve">, refuser </w:t>
      </w:r>
      <w:r w:rsidRPr="008F3795">
        <w:rPr>
          <w:rFonts w:asciiTheme="minorHAnsi" w:hAnsiTheme="minorHAnsi" w:cstheme="minorHAnsi"/>
          <w:sz w:val="22"/>
          <w:szCs w:val="22"/>
        </w:rPr>
        <w:t>à une personne en situation de handicap de participer à une activité sportive</w:t>
      </w:r>
      <w:r w:rsidRPr="00B948A9">
        <w:rPr>
          <w:rFonts w:asciiTheme="minorHAnsi" w:hAnsiTheme="minorHAnsi" w:cstheme="minorHAnsi"/>
          <w:b/>
          <w:sz w:val="22"/>
          <w:szCs w:val="22"/>
        </w:rPr>
        <w:t xml:space="preserve">, sans apprécier au préalable l’existence d’un </w:t>
      </w:r>
      <w:r w:rsidR="00B948A9" w:rsidRPr="00B948A9">
        <w:rPr>
          <w:rFonts w:asciiTheme="minorHAnsi" w:hAnsiTheme="minorHAnsi" w:cstheme="minorHAnsi"/>
          <w:b/>
          <w:sz w:val="22"/>
          <w:szCs w:val="22"/>
        </w:rPr>
        <w:t>aménagement</w:t>
      </w:r>
      <w:r w:rsidRPr="00B948A9">
        <w:rPr>
          <w:rFonts w:asciiTheme="minorHAnsi" w:hAnsiTheme="minorHAnsi" w:cstheme="minorHAnsi"/>
          <w:b/>
          <w:sz w:val="22"/>
          <w:szCs w:val="22"/>
        </w:rPr>
        <w:t xml:space="preserve"> raisonnable, </w:t>
      </w:r>
      <w:r w:rsidR="00B948A9" w:rsidRPr="00B948A9">
        <w:rPr>
          <w:rFonts w:asciiTheme="minorHAnsi" w:hAnsiTheme="minorHAnsi" w:cstheme="minorHAnsi"/>
          <w:b/>
          <w:sz w:val="22"/>
          <w:szCs w:val="22"/>
        </w:rPr>
        <w:t>constitue</w:t>
      </w:r>
      <w:r w:rsidRPr="00B948A9">
        <w:rPr>
          <w:rFonts w:asciiTheme="minorHAnsi" w:hAnsiTheme="minorHAnsi" w:cstheme="minorHAnsi"/>
          <w:b/>
          <w:sz w:val="22"/>
          <w:szCs w:val="22"/>
        </w:rPr>
        <w:t xml:space="preserve"> une discrimination. </w:t>
      </w:r>
    </w:p>
    <w:p w:rsidR="00517D59" w:rsidRPr="00383E57" w:rsidRDefault="00517D59" w:rsidP="00F85197">
      <w:pPr>
        <w:pStyle w:val="Default"/>
        <w:spacing w:after="20" w:line="259" w:lineRule="auto"/>
        <w:jc w:val="both"/>
        <w:rPr>
          <w:rFonts w:asciiTheme="minorHAnsi" w:hAnsiTheme="minorHAnsi" w:cstheme="minorHAnsi"/>
          <w:sz w:val="16"/>
          <w:szCs w:val="16"/>
        </w:rPr>
      </w:pPr>
    </w:p>
    <w:p w:rsidR="00383E57" w:rsidRDefault="00B95F63" w:rsidP="00F85197">
      <w:pPr>
        <w:pStyle w:val="Default"/>
        <w:spacing w:after="20" w:line="259" w:lineRule="auto"/>
        <w:jc w:val="both"/>
        <w:rPr>
          <w:rFonts w:asciiTheme="minorHAnsi" w:hAnsiTheme="minorHAnsi" w:cstheme="minorHAnsi"/>
          <w:b/>
          <w:sz w:val="22"/>
          <w:szCs w:val="22"/>
        </w:rPr>
      </w:pPr>
      <w:r>
        <w:rPr>
          <w:rFonts w:asciiTheme="minorHAnsi" w:hAnsiTheme="minorHAnsi" w:cstheme="minorHAnsi"/>
          <w:b/>
          <w:sz w:val="22"/>
          <w:szCs w:val="22"/>
        </w:rPr>
        <w:t>De fait, b</w:t>
      </w:r>
      <w:r w:rsidR="00B6675D" w:rsidRPr="003B5F59">
        <w:rPr>
          <w:rFonts w:asciiTheme="minorHAnsi" w:hAnsiTheme="minorHAnsi" w:cstheme="minorHAnsi"/>
          <w:b/>
          <w:sz w:val="22"/>
          <w:szCs w:val="22"/>
        </w:rPr>
        <w:t xml:space="preserve">eaucoup de personnes handicapées n'ont </w:t>
      </w:r>
      <w:r w:rsidR="00A17548">
        <w:rPr>
          <w:rFonts w:asciiTheme="minorHAnsi" w:hAnsiTheme="minorHAnsi" w:cstheme="minorHAnsi"/>
          <w:b/>
          <w:sz w:val="22"/>
          <w:szCs w:val="22"/>
        </w:rPr>
        <w:t>qu'un accès très limité, voire pas d’accès, aux</w:t>
      </w:r>
      <w:r w:rsidR="00B6675D" w:rsidRPr="003B5F59">
        <w:rPr>
          <w:rFonts w:asciiTheme="minorHAnsi" w:hAnsiTheme="minorHAnsi" w:cstheme="minorHAnsi"/>
          <w:b/>
          <w:sz w:val="22"/>
          <w:szCs w:val="22"/>
        </w:rPr>
        <w:t xml:space="preserve"> act</w:t>
      </w:r>
      <w:r w:rsidR="00A17548">
        <w:rPr>
          <w:rFonts w:asciiTheme="minorHAnsi" w:hAnsiTheme="minorHAnsi" w:cstheme="minorHAnsi"/>
          <w:b/>
          <w:sz w:val="22"/>
          <w:szCs w:val="22"/>
        </w:rPr>
        <w:t>ivités sportives de leur choix</w:t>
      </w:r>
      <w:r w:rsidR="00B6675D" w:rsidRPr="003B5F59">
        <w:rPr>
          <w:rFonts w:asciiTheme="minorHAnsi" w:hAnsiTheme="minorHAnsi" w:cstheme="minorHAnsi"/>
          <w:b/>
          <w:sz w:val="22"/>
          <w:szCs w:val="22"/>
        </w:rPr>
        <w:t xml:space="preserve">, sur un pied d'égalité avec le reste de la population. </w:t>
      </w:r>
    </w:p>
    <w:p w:rsidR="00383E57" w:rsidRPr="00383E57" w:rsidRDefault="00383E57" w:rsidP="00F85197">
      <w:pPr>
        <w:pStyle w:val="Default"/>
        <w:spacing w:after="20" w:line="259" w:lineRule="auto"/>
        <w:jc w:val="both"/>
        <w:rPr>
          <w:rFonts w:asciiTheme="minorHAnsi" w:hAnsiTheme="minorHAnsi" w:cstheme="minorHAnsi"/>
          <w:b/>
          <w:sz w:val="22"/>
          <w:szCs w:val="22"/>
        </w:rPr>
      </w:pPr>
    </w:p>
    <w:tbl>
      <w:tblPr>
        <w:tblStyle w:val="GridTable1Light-Accent1"/>
        <w:tblW w:w="0" w:type="auto"/>
        <w:tblInd w:w="5" w:type="dxa"/>
        <w:tblLook w:val="04A0" w:firstRow="1" w:lastRow="0" w:firstColumn="1" w:lastColumn="0" w:noHBand="0" w:noVBand="1"/>
      </w:tblPr>
      <w:tblGrid>
        <w:gridCol w:w="9057"/>
      </w:tblGrid>
      <w:tr w:rsidR="00D0337F" w:rsidTr="001333D5">
        <w:trPr>
          <w:cnfStyle w:val="100000000000" w:firstRow="1" w:lastRow="0" w:firstColumn="0" w:lastColumn="0" w:oddVBand="0" w:evenVBand="0" w:oddHBand="0" w:evenHBand="0" w:firstRowFirstColumn="0" w:firstRowLastColumn="0" w:lastRowFirstColumn="0" w:lastRowLastColumn="0"/>
          <w:trHeight w:val="1280"/>
        </w:trPr>
        <w:tc>
          <w:tcPr>
            <w:cnfStyle w:val="001000000000" w:firstRow="0" w:lastRow="0" w:firstColumn="1" w:lastColumn="0" w:oddVBand="0" w:evenVBand="0" w:oddHBand="0" w:evenHBand="0" w:firstRowFirstColumn="0" w:firstRowLastColumn="0" w:lastRowFirstColumn="0" w:lastRowLastColumn="0"/>
            <w:tcW w:w="9057" w:type="dxa"/>
            <w:shd w:val="clear" w:color="auto" w:fill="F2F7FC"/>
          </w:tcPr>
          <w:p w:rsidR="00D0337F" w:rsidRDefault="00D0337F" w:rsidP="00F85197">
            <w:pPr>
              <w:pStyle w:val="Heading7"/>
              <w:spacing w:before="0" w:after="20" w:line="259" w:lineRule="auto"/>
              <w:outlineLvl w:val="6"/>
            </w:pPr>
            <w:bookmarkStart w:id="66" w:name="_Toc20128148"/>
            <w:r w:rsidRPr="00F2623F">
              <w:rPr>
                <w:rStyle w:val="Emphasis"/>
                <w:i/>
                <w:iCs/>
              </w:rPr>
              <w:t>Recommandations</w:t>
            </w:r>
            <w:bookmarkEnd w:id="66"/>
            <w:r>
              <w:t> </w:t>
            </w:r>
          </w:p>
          <w:p w:rsidR="0029733C" w:rsidRPr="0029733C" w:rsidRDefault="0029733C" w:rsidP="0029733C">
            <w:pPr>
              <w:rPr>
                <w:sz w:val="16"/>
                <w:szCs w:val="16"/>
                <w:lang w:eastAsia="en-GB"/>
              </w:rPr>
            </w:pPr>
          </w:p>
          <w:p w:rsidR="00FD1904" w:rsidRDefault="008E58E7" w:rsidP="00027EF9">
            <w:pPr>
              <w:pStyle w:val="ListParagraph"/>
              <w:widowControl w:val="0"/>
              <w:numPr>
                <w:ilvl w:val="0"/>
                <w:numId w:val="5"/>
              </w:numPr>
              <w:autoSpaceDE w:val="0"/>
              <w:autoSpaceDN w:val="0"/>
              <w:spacing w:after="20" w:line="259" w:lineRule="auto"/>
              <w:ind w:left="714" w:right="113" w:hanging="357"/>
              <w:contextualSpacing w:val="0"/>
              <w:jc w:val="both"/>
            </w:pPr>
            <w:r>
              <w:t>Mise en œuvre d’un plan d’action</w:t>
            </w:r>
            <w:r w:rsidR="00FD1904">
              <w:t xml:space="preserve"> </w:t>
            </w:r>
            <w:r w:rsidR="0024799C" w:rsidRPr="0024799C">
              <w:t xml:space="preserve">national et intersectoriel, portant une attention particulière aux handicaps extrêmes, </w:t>
            </w:r>
            <w:r w:rsidR="00FD1904" w:rsidRPr="0024799C">
              <w:t>et instauration d’une mission de contrôle.</w:t>
            </w:r>
          </w:p>
          <w:p w:rsidR="0029733C" w:rsidRPr="0029733C" w:rsidRDefault="0029733C" w:rsidP="0029733C">
            <w:pPr>
              <w:widowControl w:val="0"/>
              <w:autoSpaceDE w:val="0"/>
              <w:autoSpaceDN w:val="0"/>
              <w:spacing w:after="20"/>
              <w:ind w:right="113"/>
              <w:jc w:val="both"/>
              <w:rPr>
                <w:sz w:val="16"/>
                <w:szCs w:val="16"/>
              </w:rPr>
            </w:pPr>
          </w:p>
        </w:tc>
      </w:tr>
    </w:tbl>
    <w:p w:rsidR="00E14192" w:rsidRPr="004F34A7" w:rsidRDefault="00E14192" w:rsidP="00F85197">
      <w:pPr>
        <w:spacing w:after="20"/>
        <w:jc w:val="both"/>
        <w:rPr>
          <w:lang w:eastAsia="en-GB"/>
        </w:rPr>
      </w:pPr>
    </w:p>
    <w:p w:rsidR="00E14192" w:rsidRPr="00674F4E" w:rsidRDefault="000269A0" w:rsidP="00F85197">
      <w:pPr>
        <w:pStyle w:val="Heading2"/>
        <w:spacing w:before="0" w:after="20"/>
        <w:ind w:left="360"/>
      </w:pPr>
      <w:bookmarkStart w:id="67" w:name="_Toc18076121"/>
      <w:bookmarkStart w:id="68" w:name="_Toc29546080"/>
      <w:r>
        <w:t>C.</w:t>
      </w:r>
      <w:r w:rsidRPr="00674F4E">
        <w:t xml:space="preserve"> </w:t>
      </w:r>
      <w:r w:rsidR="00E14192" w:rsidRPr="00674F4E">
        <w:t>Obligations particulières (art. 31 à 33)</w:t>
      </w:r>
      <w:bookmarkEnd w:id="67"/>
      <w:bookmarkEnd w:id="68"/>
    </w:p>
    <w:p w:rsidR="00E14192" w:rsidRDefault="00E14192" w:rsidP="00F85197">
      <w:pPr>
        <w:spacing w:after="20"/>
        <w:jc w:val="both"/>
      </w:pPr>
    </w:p>
    <w:p w:rsidR="001F3F11" w:rsidRPr="00C31358" w:rsidRDefault="001F3F11" w:rsidP="007227BF">
      <w:pPr>
        <w:pStyle w:val="Heading3"/>
      </w:pPr>
      <w:bookmarkStart w:id="69" w:name="_Toc18076122"/>
      <w:bookmarkStart w:id="70" w:name="_Toc29546081"/>
      <w:r>
        <w:t xml:space="preserve">Article 31 </w:t>
      </w:r>
      <w:r w:rsidR="00C4409C">
        <w:t>–</w:t>
      </w:r>
      <w:r>
        <w:t xml:space="preserve"> Statistiques et collecte de données</w:t>
      </w:r>
      <w:bookmarkEnd w:id="69"/>
      <w:bookmarkEnd w:id="70"/>
      <w:r>
        <w:t xml:space="preserve"> </w:t>
      </w:r>
    </w:p>
    <w:p w:rsidR="0072365E" w:rsidRDefault="0072365E" w:rsidP="00F85197">
      <w:pPr>
        <w:spacing w:after="20"/>
        <w:jc w:val="both"/>
      </w:pPr>
    </w:p>
    <w:p w:rsidR="00E5617B" w:rsidRDefault="00B6675D" w:rsidP="00F85197">
      <w:pPr>
        <w:spacing w:after="20"/>
        <w:jc w:val="both"/>
      </w:pPr>
      <w:r>
        <w:lastRenderedPageBreak/>
        <w:t xml:space="preserve">Force est de constater que depuis des décennies, </w:t>
      </w:r>
      <w:r w:rsidR="00887680">
        <w:t>le</w:t>
      </w:r>
      <w:r>
        <w:t xml:space="preserve"> manque </w:t>
      </w:r>
      <w:r w:rsidR="00887680">
        <w:t xml:space="preserve">de statistiques pertinentes et </w:t>
      </w:r>
      <w:r>
        <w:t xml:space="preserve">de données épidémiologiques pour connaître les besoins de la population </w:t>
      </w:r>
      <w:r w:rsidR="008F3795">
        <w:t>en situation de handicap</w:t>
      </w:r>
      <w:r>
        <w:t xml:space="preserve"> fait cruellement défaut. </w:t>
      </w:r>
    </w:p>
    <w:p w:rsidR="00B6675D" w:rsidRDefault="00887680" w:rsidP="00F85197">
      <w:pPr>
        <w:spacing w:after="20"/>
        <w:jc w:val="both"/>
      </w:pPr>
      <w:r>
        <w:t>Concernant les</w:t>
      </w:r>
      <w:r w:rsidR="00B6675D">
        <w:t xml:space="preserve"> départem</w:t>
      </w:r>
      <w:r w:rsidR="008F3795">
        <w:t>ents et territoires d’O</w:t>
      </w:r>
      <w:r w:rsidR="00B6675D">
        <w:t xml:space="preserve">utre-mer, il n'existe aucune donnée chiffrée recensant le nombre de </w:t>
      </w:r>
      <w:r w:rsidR="008F3795">
        <w:t>personnes</w:t>
      </w:r>
      <w:r w:rsidR="00B6675D">
        <w:t xml:space="preserve"> handicapé</w:t>
      </w:r>
      <w:r w:rsidR="00781E78">
        <w:t>e</w:t>
      </w:r>
      <w:r w:rsidR="00B6675D">
        <w:t>s</w:t>
      </w:r>
      <w:r w:rsidR="00781E78">
        <w:t xml:space="preserve"> y vivant. </w:t>
      </w:r>
      <w:r w:rsidR="00674F4E">
        <w:t xml:space="preserve">Parmi les quelques données disponibles, très peu sont </w:t>
      </w:r>
      <w:r w:rsidR="009F6F18">
        <w:t>genrées</w:t>
      </w:r>
      <w:r w:rsidR="00674F4E">
        <w:t>.</w:t>
      </w:r>
    </w:p>
    <w:p w:rsidR="00674F4E" w:rsidRDefault="00674F4E" w:rsidP="00F85197">
      <w:pPr>
        <w:spacing w:after="20"/>
        <w:jc w:val="both"/>
      </w:pPr>
    </w:p>
    <w:p w:rsidR="00674F4E" w:rsidRDefault="00E5617B" w:rsidP="00F85197">
      <w:pPr>
        <w:spacing w:after="20"/>
        <w:jc w:val="both"/>
      </w:pPr>
      <w:r>
        <w:t>La</w:t>
      </w:r>
      <w:r w:rsidR="00674F4E">
        <w:t xml:space="preserve"> variabilité des définitions du handicap </w:t>
      </w:r>
      <w:r w:rsidR="00781E78">
        <w:t xml:space="preserve">entraine des variations ou des incertitudes statistiques importantes. </w:t>
      </w:r>
      <w:r w:rsidR="009F6F18">
        <w:t>P</w:t>
      </w:r>
      <w:r w:rsidR="00674F4E">
        <w:t xml:space="preserve">ar exemple, la notion de </w:t>
      </w:r>
      <w:r w:rsidR="00B95F63">
        <w:t>« </w:t>
      </w:r>
      <w:r w:rsidR="00674F4E">
        <w:t>travailleur handicapé</w:t>
      </w:r>
      <w:r w:rsidR="00B95F63">
        <w:t> »</w:t>
      </w:r>
      <w:r w:rsidR="00674F4E">
        <w:t xml:space="preserve"> dans la fonction publique et dans le secteur privé ne correspond pas à la même réalité</w:t>
      </w:r>
      <w:r w:rsidR="00B95F63">
        <w:t>.</w:t>
      </w:r>
      <w:r w:rsidR="00674F4E">
        <w:t xml:space="preserve"> </w:t>
      </w:r>
    </w:p>
    <w:p w:rsidR="00674F4E" w:rsidRDefault="00674F4E" w:rsidP="00F85197">
      <w:pPr>
        <w:spacing w:after="20"/>
        <w:jc w:val="both"/>
      </w:pPr>
    </w:p>
    <w:p w:rsidR="00B6675D" w:rsidRPr="00BB1B04" w:rsidRDefault="00800151" w:rsidP="00F85197">
      <w:pPr>
        <w:spacing w:after="20"/>
        <w:jc w:val="both"/>
      </w:pPr>
      <w:r w:rsidRPr="00BB1B04">
        <w:rPr>
          <w:rFonts w:cstheme="minorHAnsi"/>
        </w:rPr>
        <w:t xml:space="preserve">Aussi est-il régulièrement affirmé par les pouvoirs publics que le handicap </w:t>
      </w:r>
      <w:r w:rsidR="00B95F63" w:rsidRPr="00BB1B04">
        <w:rPr>
          <w:rFonts w:cstheme="minorHAnsi"/>
        </w:rPr>
        <w:t>n</w:t>
      </w:r>
      <w:r w:rsidRPr="00BB1B04">
        <w:rPr>
          <w:rFonts w:cstheme="minorHAnsi"/>
        </w:rPr>
        <w:t>e</w:t>
      </w:r>
      <w:r w:rsidR="00B95F63" w:rsidRPr="00BB1B04">
        <w:rPr>
          <w:rFonts w:cstheme="minorHAnsi"/>
        </w:rPr>
        <w:t xml:space="preserve"> </w:t>
      </w:r>
      <w:r w:rsidRPr="00BB1B04">
        <w:rPr>
          <w:rFonts w:cstheme="minorHAnsi"/>
        </w:rPr>
        <w:t>s</w:t>
      </w:r>
      <w:r w:rsidR="00B95F63" w:rsidRPr="00BB1B04">
        <w:rPr>
          <w:rFonts w:cstheme="minorHAnsi"/>
        </w:rPr>
        <w:t>erai</w:t>
      </w:r>
      <w:r w:rsidRPr="00BB1B04">
        <w:rPr>
          <w:rFonts w:cstheme="minorHAnsi"/>
        </w:rPr>
        <w:t xml:space="preserve">t </w:t>
      </w:r>
      <w:r w:rsidR="00B95F63" w:rsidRPr="00E5617B">
        <w:rPr>
          <w:rFonts w:cstheme="minorHAnsi"/>
          <w:b/>
        </w:rPr>
        <w:t>qu’</w:t>
      </w:r>
      <w:r w:rsidRPr="00E5617B">
        <w:rPr>
          <w:rFonts w:cstheme="minorHAnsi"/>
          <w:b/>
        </w:rPr>
        <w:t>un enjeu de santé publique,</w:t>
      </w:r>
      <w:r w:rsidRPr="00BB1B04">
        <w:rPr>
          <w:rFonts w:cstheme="minorHAnsi"/>
        </w:rPr>
        <w:t xml:space="preserve"> alors que nombre de personnes handicapées n'ont aucun problème de santé.</w:t>
      </w:r>
      <w:r w:rsidR="00B95F63" w:rsidRPr="00BB1B04">
        <w:rPr>
          <w:rFonts w:cstheme="minorHAnsi"/>
        </w:rPr>
        <w:t xml:space="preserve"> </w:t>
      </w:r>
      <w:r w:rsidR="00B95F63" w:rsidRPr="00E5617B">
        <w:rPr>
          <w:rFonts w:cstheme="minorHAnsi"/>
          <w:b/>
        </w:rPr>
        <w:t>L’enjeu est d’ordre social et sociétal</w:t>
      </w:r>
      <w:r w:rsidR="00B95F63" w:rsidRPr="00BB1B04">
        <w:rPr>
          <w:rFonts w:cstheme="minorHAnsi"/>
        </w:rPr>
        <w:t>.</w:t>
      </w:r>
      <w:r w:rsidR="00E5617B" w:rsidRPr="00BB1B04">
        <w:t xml:space="preserve"> </w:t>
      </w:r>
      <w:r w:rsidR="00B6675D" w:rsidRPr="00BB1B04">
        <w:t>En</w:t>
      </w:r>
      <w:r w:rsidR="004F34A7" w:rsidRPr="00BB1B04">
        <w:t xml:space="preserve"> conséquence, les statistiques </w:t>
      </w:r>
      <w:r w:rsidR="00B95F63" w:rsidRPr="00BB1B04">
        <w:t xml:space="preserve">ne sauraient se contenter de relever de la seule </w:t>
      </w:r>
      <w:r w:rsidR="00B6675D" w:rsidRPr="00BB1B04">
        <w:t>situation de maladie</w:t>
      </w:r>
      <w:r w:rsidR="00B95F63" w:rsidRPr="00BB1B04">
        <w:t xml:space="preserve"> (sauf quand elle est dite « invalidante »).</w:t>
      </w:r>
    </w:p>
    <w:p w:rsidR="0072365E" w:rsidRDefault="0072365E" w:rsidP="00F85197">
      <w:pPr>
        <w:spacing w:after="20"/>
        <w:jc w:val="both"/>
        <w:rPr>
          <w:b/>
        </w:rPr>
      </w:pPr>
    </w:p>
    <w:tbl>
      <w:tblPr>
        <w:tblStyle w:val="GridTable1Light-Accent1"/>
        <w:tblpPr w:leftFromText="141" w:rightFromText="141" w:vertAnchor="page" w:horzAnchor="margin" w:tblpY="7766"/>
        <w:tblW w:w="0" w:type="auto"/>
        <w:tblLook w:val="04A0" w:firstRow="1" w:lastRow="0" w:firstColumn="1" w:lastColumn="0" w:noHBand="0" w:noVBand="1"/>
      </w:tblPr>
      <w:tblGrid>
        <w:gridCol w:w="9062"/>
      </w:tblGrid>
      <w:tr w:rsidR="00E5617B" w:rsidTr="00E561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F2F7FC"/>
          </w:tcPr>
          <w:p w:rsidR="00E5617B" w:rsidRDefault="00E5617B" w:rsidP="00F85197">
            <w:pPr>
              <w:pStyle w:val="Heading7"/>
              <w:spacing w:before="0" w:after="20" w:line="259" w:lineRule="auto"/>
              <w:outlineLvl w:val="6"/>
            </w:pPr>
            <w:r w:rsidRPr="00F2623F">
              <w:rPr>
                <w:rStyle w:val="Emphasis"/>
                <w:i/>
                <w:iCs/>
              </w:rPr>
              <w:t>Recommandations</w:t>
            </w:r>
            <w:r>
              <w:t> </w:t>
            </w:r>
          </w:p>
          <w:p w:rsidR="0029733C" w:rsidRPr="0029733C" w:rsidRDefault="0029733C" w:rsidP="0029733C">
            <w:pPr>
              <w:rPr>
                <w:lang w:eastAsia="en-GB"/>
              </w:rPr>
            </w:pPr>
          </w:p>
          <w:p w:rsidR="00E5617B" w:rsidRPr="00591F1A" w:rsidRDefault="00E5617B" w:rsidP="00027EF9">
            <w:pPr>
              <w:pStyle w:val="ListParagraph"/>
              <w:widowControl w:val="0"/>
              <w:numPr>
                <w:ilvl w:val="0"/>
                <w:numId w:val="5"/>
              </w:numPr>
              <w:autoSpaceDE w:val="0"/>
              <w:autoSpaceDN w:val="0"/>
              <w:spacing w:after="20" w:line="259" w:lineRule="auto"/>
              <w:ind w:right="113"/>
              <w:contextualSpacing w:val="0"/>
              <w:jc w:val="both"/>
            </w:pPr>
            <w:r>
              <w:t>Créer</w:t>
            </w:r>
            <w:r w:rsidRPr="00591F1A">
              <w:t xml:space="preserve"> un dispositif national performant de centralisation et d'exploitation concertée d'indicateurs, de données statistiques, études et recherches sur la situation et les besoins de</w:t>
            </w:r>
            <w:r>
              <w:t xml:space="preserve">s </w:t>
            </w:r>
            <w:r w:rsidRPr="00591F1A">
              <w:t>personnes</w:t>
            </w:r>
            <w:r>
              <w:t xml:space="preserve"> handicapée</w:t>
            </w:r>
            <w:r w:rsidR="00497002">
              <w:t>s</w:t>
            </w:r>
            <w:r>
              <w:t>.</w:t>
            </w:r>
          </w:p>
          <w:p w:rsidR="00E5617B" w:rsidRPr="00591F1A" w:rsidRDefault="00E5617B" w:rsidP="00027EF9">
            <w:pPr>
              <w:pStyle w:val="ListParagraph"/>
              <w:widowControl w:val="0"/>
              <w:numPr>
                <w:ilvl w:val="0"/>
                <w:numId w:val="5"/>
              </w:numPr>
              <w:autoSpaceDE w:val="0"/>
              <w:autoSpaceDN w:val="0"/>
              <w:spacing w:after="20" w:line="259" w:lineRule="auto"/>
              <w:ind w:right="113"/>
              <w:contextualSpacing w:val="0"/>
              <w:jc w:val="both"/>
            </w:pPr>
            <w:r>
              <w:t>Intégrer</w:t>
            </w:r>
            <w:r w:rsidRPr="00591F1A">
              <w:t xml:space="preserve"> la dimension de genre, </w:t>
            </w:r>
            <w:r>
              <w:t>de même que</w:t>
            </w:r>
            <w:r w:rsidRPr="00591F1A">
              <w:t xml:space="preserve"> la prise en compte du handicap dans les politiques liées au genre</w:t>
            </w:r>
            <w:r>
              <w:t xml:space="preserve"> (</w:t>
            </w:r>
            <w:r w:rsidRPr="00591F1A">
              <w:t>introduction d'une approche intersecto</w:t>
            </w:r>
            <w:r>
              <w:t>ri</w:t>
            </w:r>
            <w:r w:rsidRPr="00591F1A">
              <w:t>elle au sein de l'appareil statistique concernant les personnes handicapées</w:t>
            </w:r>
            <w:r>
              <w:t>).</w:t>
            </w:r>
          </w:p>
          <w:p w:rsidR="00E5617B" w:rsidRPr="00591F1A" w:rsidRDefault="00E5617B" w:rsidP="00027EF9">
            <w:pPr>
              <w:pStyle w:val="ListParagraph"/>
              <w:widowControl w:val="0"/>
              <w:numPr>
                <w:ilvl w:val="0"/>
                <w:numId w:val="5"/>
              </w:numPr>
              <w:autoSpaceDE w:val="0"/>
              <w:autoSpaceDN w:val="0"/>
              <w:spacing w:after="20" w:line="259" w:lineRule="auto"/>
              <w:ind w:right="113"/>
              <w:contextualSpacing w:val="0"/>
              <w:jc w:val="both"/>
            </w:pPr>
            <w:r>
              <w:t>Impliquer l</w:t>
            </w:r>
            <w:r w:rsidRPr="00591F1A">
              <w:t>e Conseil National de l'Information Statistique</w:t>
            </w:r>
            <w:r w:rsidR="00497002">
              <w:t xml:space="preserve"> (CNIS)</w:t>
            </w:r>
            <w:r>
              <w:t>.</w:t>
            </w:r>
          </w:p>
          <w:p w:rsidR="00E5617B" w:rsidRPr="00591F1A" w:rsidRDefault="00E5617B" w:rsidP="00027EF9">
            <w:pPr>
              <w:pStyle w:val="ListParagraph"/>
              <w:widowControl w:val="0"/>
              <w:numPr>
                <w:ilvl w:val="0"/>
                <w:numId w:val="5"/>
              </w:numPr>
              <w:autoSpaceDE w:val="0"/>
              <w:autoSpaceDN w:val="0"/>
              <w:spacing w:after="20" w:line="259" w:lineRule="auto"/>
              <w:ind w:right="113"/>
              <w:contextualSpacing w:val="0"/>
              <w:jc w:val="both"/>
            </w:pPr>
            <w:r>
              <w:t>I</w:t>
            </w:r>
            <w:r w:rsidRPr="00591F1A">
              <w:t xml:space="preserve">mplémenter un module </w:t>
            </w:r>
            <w:r>
              <w:t>« </w:t>
            </w:r>
            <w:r w:rsidRPr="00591F1A">
              <w:t>Handicap</w:t>
            </w:r>
            <w:r>
              <w:t> »</w:t>
            </w:r>
            <w:r w:rsidRPr="00591F1A">
              <w:t xml:space="preserve"> dans les enquêtes de l'INSEE</w:t>
            </w:r>
            <w:r>
              <w:t xml:space="preserve"> (qui n’est</w:t>
            </w:r>
            <w:r w:rsidRPr="00591F1A">
              <w:t xml:space="preserve"> pas un organisme indépendant, mais une direction du ministère des Finances</w:t>
            </w:r>
            <w:r>
              <w:t>).</w:t>
            </w:r>
          </w:p>
          <w:p w:rsidR="00E5617B" w:rsidRDefault="004823B3" w:rsidP="00027EF9">
            <w:pPr>
              <w:pStyle w:val="ListParagraph"/>
              <w:widowControl w:val="0"/>
              <w:numPr>
                <w:ilvl w:val="0"/>
                <w:numId w:val="5"/>
              </w:numPr>
              <w:autoSpaceDE w:val="0"/>
              <w:autoSpaceDN w:val="0"/>
              <w:spacing w:after="20" w:line="259" w:lineRule="auto"/>
              <w:ind w:right="113"/>
              <w:contextualSpacing w:val="0"/>
              <w:jc w:val="both"/>
            </w:pPr>
            <w:r>
              <w:t xml:space="preserve">Utiliser des </w:t>
            </w:r>
            <w:r w:rsidR="00162A92">
              <w:t>indicateurs</w:t>
            </w:r>
            <w:r w:rsidR="00E5617B" w:rsidRPr="00591F1A">
              <w:t xml:space="preserve"> statistiques</w:t>
            </w:r>
            <w:r w:rsidR="00E5617B">
              <w:t> </w:t>
            </w:r>
            <w:r w:rsidR="000B589A">
              <w:t xml:space="preserve">comme </w:t>
            </w:r>
            <w:r w:rsidR="00E5617B">
              <w:t>:</w:t>
            </w:r>
          </w:p>
          <w:p w:rsidR="00E5617B" w:rsidRPr="00B27256" w:rsidRDefault="00E5617B" w:rsidP="0054189A">
            <w:pPr>
              <w:pStyle w:val="ListParagraph"/>
              <w:widowControl w:val="0"/>
              <w:numPr>
                <w:ilvl w:val="1"/>
                <w:numId w:val="6"/>
              </w:numPr>
              <w:autoSpaceDE w:val="0"/>
              <w:autoSpaceDN w:val="0"/>
              <w:spacing w:after="20" w:line="259" w:lineRule="auto"/>
              <w:ind w:right="113"/>
              <w:contextualSpacing w:val="0"/>
              <w:jc w:val="both"/>
            </w:pPr>
            <w:r w:rsidRPr="00A538B6">
              <w:t>Indicateur social (</w:t>
            </w:r>
            <w:r w:rsidR="002D2A27">
              <w:t xml:space="preserve">emploi, allocations de vie, </w:t>
            </w:r>
            <w:r w:rsidRPr="00A538B6">
              <w:t>prestations de compensation</w:t>
            </w:r>
            <w:r w:rsidRPr="00B27256">
              <w:t xml:space="preserve">) ; </w:t>
            </w:r>
          </w:p>
          <w:p w:rsidR="00E5617B" w:rsidRPr="00591F1A" w:rsidRDefault="00E5617B" w:rsidP="0054189A">
            <w:pPr>
              <w:pStyle w:val="ListParagraph"/>
              <w:widowControl w:val="0"/>
              <w:numPr>
                <w:ilvl w:val="1"/>
                <w:numId w:val="6"/>
              </w:numPr>
              <w:autoSpaceDE w:val="0"/>
              <w:autoSpaceDN w:val="0"/>
              <w:spacing w:after="20" w:line="259" w:lineRule="auto"/>
              <w:ind w:right="113"/>
              <w:contextualSpacing w:val="0"/>
              <w:jc w:val="both"/>
            </w:pPr>
            <w:r>
              <w:t>I</w:t>
            </w:r>
            <w:r w:rsidRPr="00591F1A">
              <w:t>ndicateur accessibilité</w:t>
            </w:r>
            <w:r>
              <w:t xml:space="preserve"> (progression de l’accessibilité) ; </w:t>
            </w:r>
          </w:p>
          <w:p w:rsidR="00E5617B" w:rsidRPr="00591F1A" w:rsidRDefault="00E5617B" w:rsidP="0054189A">
            <w:pPr>
              <w:pStyle w:val="ListParagraph"/>
              <w:widowControl w:val="0"/>
              <w:numPr>
                <w:ilvl w:val="1"/>
                <w:numId w:val="6"/>
              </w:numPr>
              <w:autoSpaceDE w:val="0"/>
              <w:autoSpaceDN w:val="0"/>
              <w:spacing w:after="20" w:line="259" w:lineRule="auto"/>
              <w:ind w:right="113"/>
              <w:contextualSpacing w:val="0"/>
              <w:jc w:val="both"/>
            </w:pPr>
            <w:r>
              <w:t>I</w:t>
            </w:r>
            <w:r w:rsidRPr="00591F1A">
              <w:t xml:space="preserve">ndicateur éducation </w:t>
            </w:r>
            <w:r>
              <w:t xml:space="preserve">(d’une part sur la scolarité, les études supérieures et la </w:t>
            </w:r>
            <w:r>
              <w:lastRenderedPageBreak/>
              <w:t>formation initiale et continue, et d’autre part sur l’inclusion en milieu ordinaire) ;</w:t>
            </w:r>
          </w:p>
          <w:p w:rsidR="00E5617B" w:rsidRDefault="00E5617B" w:rsidP="0054189A">
            <w:pPr>
              <w:pStyle w:val="ListParagraph"/>
              <w:widowControl w:val="0"/>
              <w:numPr>
                <w:ilvl w:val="1"/>
                <w:numId w:val="6"/>
              </w:numPr>
              <w:autoSpaceDE w:val="0"/>
              <w:autoSpaceDN w:val="0"/>
              <w:spacing w:after="20" w:line="259" w:lineRule="auto"/>
              <w:ind w:right="113"/>
              <w:contextualSpacing w:val="0"/>
              <w:jc w:val="both"/>
            </w:pPr>
            <w:r>
              <w:t>I</w:t>
            </w:r>
            <w:r w:rsidRPr="00591F1A">
              <w:t>ndicateur économique</w:t>
            </w:r>
            <w:r>
              <w:t xml:space="preserve"> (sur le revenu pour mesure</w:t>
            </w:r>
            <w:r w:rsidR="00497002">
              <w:t>r</w:t>
            </w:r>
            <w:r>
              <w:t xml:space="preserve"> leur capacité d’autonomie économique et sur la pertinence ou non des budgets alloués).</w:t>
            </w:r>
          </w:p>
          <w:p w:rsidR="00E5617B" w:rsidRPr="00A538B6" w:rsidRDefault="00E5617B" w:rsidP="00F85197">
            <w:pPr>
              <w:pStyle w:val="ListParagraph"/>
              <w:widowControl w:val="0"/>
              <w:autoSpaceDE w:val="0"/>
              <w:autoSpaceDN w:val="0"/>
              <w:spacing w:after="20" w:line="259" w:lineRule="auto"/>
              <w:ind w:left="1440" w:right="113"/>
              <w:contextualSpacing w:val="0"/>
              <w:jc w:val="both"/>
            </w:pPr>
          </w:p>
        </w:tc>
      </w:tr>
    </w:tbl>
    <w:p w:rsidR="00E5617B" w:rsidRPr="00800151" w:rsidRDefault="00E5617B" w:rsidP="00F85197">
      <w:pPr>
        <w:spacing w:after="20"/>
        <w:jc w:val="both"/>
        <w:rPr>
          <w:b/>
        </w:rPr>
      </w:pPr>
    </w:p>
    <w:p w:rsidR="002D2A27" w:rsidRDefault="002D2A27" w:rsidP="00F85197">
      <w:pPr>
        <w:spacing w:after="20"/>
        <w:rPr>
          <w:rFonts w:asciiTheme="majorHAnsi" w:eastAsiaTheme="majorEastAsia" w:hAnsiTheme="majorHAnsi" w:cstheme="majorBidi"/>
          <w:b/>
          <w:i/>
          <w:color w:val="2F5496" w:themeColor="accent5" w:themeShade="BF"/>
          <w:sz w:val="26"/>
          <w:lang w:eastAsia="en-GB"/>
        </w:rPr>
      </w:pPr>
      <w:bookmarkStart w:id="71" w:name="_Toc18076123"/>
      <w:r>
        <w:br w:type="page"/>
      </w:r>
    </w:p>
    <w:p w:rsidR="001F3F11" w:rsidRDefault="001F3F11" w:rsidP="007227BF">
      <w:pPr>
        <w:pStyle w:val="Heading3"/>
      </w:pPr>
      <w:bookmarkStart w:id="72" w:name="_Toc29546082"/>
      <w:r>
        <w:lastRenderedPageBreak/>
        <w:t xml:space="preserve">Article 32 </w:t>
      </w:r>
      <w:r w:rsidR="00C4409C">
        <w:t>–</w:t>
      </w:r>
      <w:r>
        <w:t xml:space="preserve"> Coopération internationale</w:t>
      </w:r>
      <w:bookmarkEnd w:id="71"/>
      <w:bookmarkEnd w:id="72"/>
      <w:r>
        <w:t xml:space="preserve"> </w:t>
      </w:r>
    </w:p>
    <w:p w:rsidR="0072365E" w:rsidRDefault="0072365E" w:rsidP="00F85197">
      <w:pPr>
        <w:spacing w:after="20"/>
        <w:jc w:val="both"/>
      </w:pPr>
    </w:p>
    <w:p w:rsidR="00B6675D" w:rsidRDefault="00B6675D" w:rsidP="00F85197">
      <w:pPr>
        <w:spacing w:after="20"/>
        <w:jc w:val="both"/>
      </w:pPr>
      <w:r>
        <w:t xml:space="preserve">La société civile </w:t>
      </w:r>
      <w:r w:rsidR="00B95F63">
        <w:t>établ</w:t>
      </w:r>
      <w:r>
        <w:t xml:space="preserve">it </w:t>
      </w:r>
      <w:r w:rsidR="00463002">
        <w:t>un</w:t>
      </w:r>
      <w:r>
        <w:t xml:space="preserve"> constat sévère</w:t>
      </w:r>
      <w:r w:rsidR="00463002">
        <w:t xml:space="preserve"> : </w:t>
      </w:r>
      <w:r>
        <w:t>très peu de choses sont réellement faites et l’Etat français</w:t>
      </w:r>
      <w:r w:rsidR="00463002">
        <w:t xml:space="preserve"> ne prend pas pleinement conscience de</w:t>
      </w:r>
      <w:r>
        <w:t xml:space="preserve"> </w:t>
      </w:r>
      <w:r w:rsidR="00463002">
        <w:t>l’importance</w:t>
      </w:r>
      <w:r>
        <w:t xml:space="preserve"> de la Convention </w:t>
      </w:r>
      <w:r w:rsidR="00463002">
        <w:t>pour</w:t>
      </w:r>
      <w:r>
        <w:t xml:space="preserve"> l’élaboration de la politique de coopération </w:t>
      </w:r>
      <w:r w:rsidR="00B95F63">
        <w:t xml:space="preserve">internationale </w:t>
      </w:r>
      <w:r>
        <w:t xml:space="preserve">et de l’impact </w:t>
      </w:r>
      <w:r w:rsidR="00E5617B">
        <w:t xml:space="preserve">que pourrait avoir </w:t>
      </w:r>
      <w:r>
        <w:t>une politique transversale. Les organisations de personnes handicapées elles-mêmes ne sont pas associées</w:t>
      </w:r>
      <w:r w:rsidR="003739C4">
        <w:t xml:space="preserve"> aux démarches de coopération dans leur ensemble</w:t>
      </w:r>
      <w:r>
        <w:t>.</w:t>
      </w:r>
    </w:p>
    <w:p w:rsidR="00B6675D" w:rsidRDefault="00B6675D" w:rsidP="00F85197">
      <w:pPr>
        <w:spacing w:after="20"/>
        <w:jc w:val="both"/>
        <w:rPr>
          <w:rFonts w:cstheme="minorHAnsi"/>
        </w:rPr>
      </w:pPr>
    </w:p>
    <w:p w:rsidR="00B6675D" w:rsidRPr="00AA6A40" w:rsidRDefault="0021309E" w:rsidP="00F85197">
      <w:pPr>
        <w:spacing w:after="20"/>
        <w:jc w:val="both"/>
      </w:pPr>
      <w:r w:rsidRPr="00AA6A40">
        <w:t>Les politiques sociales servent trop souvent de variables d’ajustement aux restrictions budgétaires que s’imposent aujourd’hui les pays membres et l’Union européenne. Or, d’autres choix sont possibles et des leviers existent</w:t>
      </w:r>
      <w:r w:rsidR="008F3795">
        <w:t xml:space="preserve"> au</w:t>
      </w:r>
      <w:r w:rsidR="00162A92">
        <w:t>x</w:t>
      </w:r>
      <w:r w:rsidR="008F3795">
        <w:t xml:space="preserve"> niveau</w:t>
      </w:r>
      <w:r w:rsidR="00162A92">
        <w:t>x</w:t>
      </w:r>
      <w:r w:rsidR="008F3795">
        <w:t xml:space="preserve"> de chaque pays et </w:t>
      </w:r>
      <w:r w:rsidRPr="00AA6A40">
        <w:t>européen pour combattre la précarité et l’exclusion des personnes en situation de hand</w:t>
      </w:r>
      <w:r w:rsidR="004F34A7">
        <w:t>icap, comme</w:t>
      </w:r>
      <w:r w:rsidR="003739C4">
        <w:t xml:space="preserve"> </w:t>
      </w:r>
      <w:r w:rsidR="00E5617B">
        <w:t>l’</w:t>
      </w:r>
      <w:r w:rsidR="003739C4">
        <w:t>«</w:t>
      </w:r>
      <w:r w:rsidRPr="00AA6A40">
        <w:t>Agenda 2030</w:t>
      </w:r>
      <w:r w:rsidR="003739C4">
        <w:t xml:space="preserve"> » </w:t>
      </w:r>
      <w:r w:rsidR="00E5617B">
        <w:t xml:space="preserve">des </w:t>
      </w:r>
      <w:r w:rsidRPr="00AA6A40">
        <w:t>Nat</w:t>
      </w:r>
      <w:r w:rsidR="002A7D41">
        <w:t>ions unies et ses O</w:t>
      </w:r>
      <w:r w:rsidRPr="00AA6A40">
        <w:t xml:space="preserve">bjectifs de développement durable </w:t>
      </w:r>
      <w:r w:rsidR="002A7D41">
        <w:t xml:space="preserve">(ODD) </w:t>
      </w:r>
      <w:r w:rsidRPr="00AA6A40">
        <w:t>ou la Stratégie européenne 20</w:t>
      </w:r>
      <w:r w:rsidR="00A43B18">
        <w:t>21</w:t>
      </w:r>
      <w:r w:rsidRPr="00AA6A40">
        <w:t>-20</w:t>
      </w:r>
      <w:r w:rsidR="00A43B18">
        <w:t>3</w:t>
      </w:r>
      <w:r w:rsidRPr="00AA6A40">
        <w:t>0 en faveur des personnes handicapées.</w:t>
      </w:r>
    </w:p>
    <w:p w:rsidR="00D0337F" w:rsidRDefault="00D0337F" w:rsidP="00F85197">
      <w:pPr>
        <w:spacing w:after="20"/>
      </w:pPr>
      <w:bookmarkStart w:id="73" w:name="_Toc18076124"/>
    </w:p>
    <w:tbl>
      <w:tblPr>
        <w:tblStyle w:val="GridTable1Light-Accent1"/>
        <w:tblW w:w="0" w:type="auto"/>
        <w:tblLook w:val="04A0" w:firstRow="1" w:lastRow="0" w:firstColumn="1" w:lastColumn="0" w:noHBand="0" w:noVBand="1"/>
      </w:tblPr>
      <w:tblGrid>
        <w:gridCol w:w="9062"/>
      </w:tblGrid>
      <w:tr w:rsidR="00D0337F" w:rsidTr="00A41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F2F7FC"/>
          </w:tcPr>
          <w:p w:rsidR="00D0337F" w:rsidRDefault="00D0337F" w:rsidP="00F85197">
            <w:pPr>
              <w:pStyle w:val="Heading7"/>
              <w:spacing w:before="0" w:after="20" w:line="259" w:lineRule="auto"/>
              <w:outlineLvl w:val="6"/>
            </w:pPr>
            <w:bookmarkStart w:id="74" w:name="_Toc20128153"/>
            <w:r w:rsidRPr="00F2623F">
              <w:rPr>
                <w:rStyle w:val="Emphasis"/>
                <w:i/>
                <w:iCs/>
              </w:rPr>
              <w:t>Recommandations</w:t>
            </w:r>
            <w:bookmarkEnd w:id="74"/>
            <w:r>
              <w:t> </w:t>
            </w:r>
          </w:p>
          <w:p w:rsidR="0029733C" w:rsidRPr="0029733C" w:rsidRDefault="0029733C" w:rsidP="0029733C">
            <w:pPr>
              <w:rPr>
                <w:lang w:eastAsia="en-GB"/>
              </w:rPr>
            </w:pPr>
          </w:p>
          <w:p w:rsidR="00B81B79" w:rsidRPr="00630933" w:rsidRDefault="00B81B79" w:rsidP="00027EF9">
            <w:pPr>
              <w:pStyle w:val="Default"/>
              <w:numPr>
                <w:ilvl w:val="0"/>
                <w:numId w:val="5"/>
              </w:numPr>
              <w:spacing w:after="20" w:line="259" w:lineRule="auto"/>
              <w:jc w:val="both"/>
              <w:rPr>
                <w:rFonts w:asciiTheme="minorHAnsi" w:hAnsiTheme="minorHAnsi" w:cstheme="minorHAnsi"/>
                <w:sz w:val="22"/>
                <w:szCs w:val="22"/>
              </w:rPr>
            </w:pPr>
            <w:r>
              <w:rPr>
                <w:rFonts w:asciiTheme="minorHAnsi" w:hAnsiTheme="minorHAnsi" w:cstheme="minorHAnsi"/>
                <w:sz w:val="22"/>
                <w:szCs w:val="22"/>
              </w:rPr>
              <w:t xml:space="preserve">Prioriser le </w:t>
            </w:r>
            <w:r w:rsidRPr="009F7086">
              <w:rPr>
                <w:rFonts w:asciiTheme="minorHAnsi" w:hAnsiTheme="minorHAnsi" w:cstheme="minorHAnsi"/>
                <w:sz w:val="22"/>
                <w:szCs w:val="22"/>
              </w:rPr>
              <w:t xml:space="preserve">thème du handicap dans les </w:t>
            </w:r>
            <w:r w:rsidR="002A7D41">
              <w:rPr>
                <w:rFonts w:asciiTheme="minorHAnsi" w:hAnsiTheme="minorHAnsi" w:cstheme="minorHAnsi"/>
                <w:sz w:val="22"/>
                <w:szCs w:val="22"/>
              </w:rPr>
              <w:t xml:space="preserve">ODD. </w:t>
            </w:r>
          </w:p>
          <w:p w:rsidR="006272A4" w:rsidRPr="00591F1A" w:rsidRDefault="006272A4" w:rsidP="00027EF9">
            <w:pPr>
              <w:pStyle w:val="ListParagraph"/>
              <w:widowControl w:val="0"/>
              <w:numPr>
                <w:ilvl w:val="0"/>
                <w:numId w:val="5"/>
              </w:numPr>
              <w:autoSpaceDE w:val="0"/>
              <w:autoSpaceDN w:val="0"/>
              <w:spacing w:after="20" w:line="259" w:lineRule="auto"/>
              <w:ind w:right="113"/>
              <w:contextualSpacing w:val="0"/>
              <w:jc w:val="both"/>
            </w:pPr>
            <w:r w:rsidRPr="00591F1A">
              <w:t>Développer une politique d’ensemble et un plan d’action de l’</w:t>
            </w:r>
            <w:r w:rsidR="00497002">
              <w:t>Agence Française de D</w:t>
            </w:r>
            <w:r w:rsidR="00430A62">
              <w:t>éveloppement (A</w:t>
            </w:r>
            <w:r w:rsidRPr="00591F1A">
              <w:t>FD</w:t>
            </w:r>
            <w:r w:rsidR="00430A62">
              <w:t>)</w:t>
            </w:r>
            <w:r w:rsidRPr="00591F1A">
              <w:t>, impactant non seulement les projets ONG, mais l’ensemble des actions de l’agence (conditions d’octroi des prêts</w:t>
            </w:r>
            <w:r w:rsidR="00C85CA6">
              <w:t>)</w:t>
            </w:r>
            <w:r w:rsidRPr="00591F1A">
              <w:t>.</w:t>
            </w:r>
          </w:p>
          <w:p w:rsidR="006272A4" w:rsidRPr="00591F1A" w:rsidRDefault="006272A4" w:rsidP="00027EF9">
            <w:pPr>
              <w:pStyle w:val="ListParagraph"/>
              <w:widowControl w:val="0"/>
              <w:numPr>
                <w:ilvl w:val="0"/>
                <w:numId w:val="5"/>
              </w:numPr>
              <w:autoSpaceDE w:val="0"/>
              <w:autoSpaceDN w:val="0"/>
              <w:spacing w:after="20" w:line="259" w:lineRule="auto"/>
              <w:ind w:right="113"/>
              <w:contextualSpacing w:val="0"/>
              <w:jc w:val="both"/>
            </w:pPr>
            <w:r w:rsidRPr="00591F1A">
              <w:t>Renforcer l’implication des organisations de personnes handicapées dans l’élaboration des priorités de développement de l’AFD</w:t>
            </w:r>
            <w:r w:rsidR="00C85CA6">
              <w:t>.</w:t>
            </w:r>
          </w:p>
          <w:p w:rsidR="006272A4" w:rsidRPr="00591F1A" w:rsidRDefault="006272A4" w:rsidP="00027EF9">
            <w:pPr>
              <w:pStyle w:val="ListParagraph"/>
              <w:widowControl w:val="0"/>
              <w:numPr>
                <w:ilvl w:val="0"/>
                <w:numId w:val="5"/>
              </w:numPr>
              <w:autoSpaceDE w:val="0"/>
              <w:autoSpaceDN w:val="0"/>
              <w:spacing w:after="20" w:line="259" w:lineRule="auto"/>
              <w:ind w:right="113"/>
              <w:contextualSpacing w:val="0"/>
              <w:jc w:val="both"/>
            </w:pPr>
            <w:r w:rsidRPr="00591F1A">
              <w:t>Renforcer les capacités de l’ensemble du personnel de l’AFD en matière de handicap.</w:t>
            </w:r>
          </w:p>
          <w:p w:rsidR="006272A4" w:rsidRPr="00591F1A" w:rsidRDefault="00C85CA6" w:rsidP="00027EF9">
            <w:pPr>
              <w:pStyle w:val="ListParagraph"/>
              <w:widowControl w:val="0"/>
              <w:numPr>
                <w:ilvl w:val="0"/>
                <w:numId w:val="5"/>
              </w:numPr>
              <w:autoSpaceDE w:val="0"/>
              <w:autoSpaceDN w:val="0"/>
              <w:spacing w:after="20" w:line="259" w:lineRule="auto"/>
              <w:ind w:right="113"/>
              <w:contextualSpacing w:val="0"/>
              <w:jc w:val="both"/>
            </w:pPr>
            <w:r>
              <w:t>Porter</w:t>
            </w:r>
            <w:r w:rsidR="006272A4" w:rsidRPr="00591F1A">
              <w:t xml:space="preserve"> une attention particulière à tous les groupes de personnes handicapées</w:t>
            </w:r>
            <w:r>
              <w:t xml:space="preserve"> </w:t>
            </w:r>
            <w:r w:rsidR="00162A92">
              <w:t xml:space="preserve">et </w:t>
            </w:r>
            <w:r w:rsidRPr="00591F1A">
              <w:t>programmes de coopération internationale</w:t>
            </w:r>
            <w:r>
              <w:t>.</w:t>
            </w:r>
          </w:p>
          <w:p w:rsidR="00D0337F" w:rsidRPr="00BD390C" w:rsidRDefault="006272A4" w:rsidP="00027EF9">
            <w:pPr>
              <w:pStyle w:val="ListParagraph"/>
              <w:widowControl w:val="0"/>
              <w:numPr>
                <w:ilvl w:val="0"/>
                <w:numId w:val="5"/>
              </w:numPr>
              <w:autoSpaceDE w:val="0"/>
              <w:autoSpaceDN w:val="0"/>
              <w:spacing w:after="20" w:line="259" w:lineRule="auto"/>
              <w:ind w:right="113"/>
              <w:contextualSpacing w:val="0"/>
              <w:jc w:val="both"/>
            </w:pPr>
            <w:r w:rsidRPr="00591F1A">
              <w:t>Augmenter les ressources de la coopération française pour soutenir des acti</w:t>
            </w:r>
            <w:r w:rsidR="00B31347">
              <w:t>ons spécifiques sur le handicap</w:t>
            </w:r>
            <w:r w:rsidRPr="00591F1A">
              <w:t xml:space="preserve"> </w:t>
            </w:r>
            <w:r w:rsidR="00B81B79">
              <w:t>et</w:t>
            </w:r>
            <w:r w:rsidRPr="00591F1A">
              <w:t xml:space="preserve"> favoriser la prise en compte transversale</w:t>
            </w:r>
            <w:r w:rsidR="00B81B79">
              <w:t>.</w:t>
            </w:r>
          </w:p>
          <w:p w:rsidR="00D0337F" w:rsidRDefault="00D0337F" w:rsidP="00F85197">
            <w:pPr>
              <w:spacing w:after="20" w:line="259" w:lineRule="auto"/>
              <w:jc w:val="both"/>
            </w:pPr>
          </w:p>
        </w:tc>
      </w:tr>
    </w:tbl>
    <w:p w:rsidR="003C44B3" w:rsidRDefault="003C44B3" w:rsidP="00F85197">
      <w:pPr>
        <w:spacing w:after="20"/>
        <w:rPr>
          <w:rFonts w:asciiTheme="majorHAnsi" w:eastAsiaTheme="majorEastAsia" w:hAnsiTheme="majorHAnsi" w:cstheme="majorBidi"/>
          <w:b/>
          <w:i/>
          <w:color w:val="2F5496" w:themeColor="accent5" w:themeShade="BF"/>
          <w:sz w:val="26"/>
          <w:lang w:eastAsia="en-GB"/>
        </w:rPr>
      </w:pPr>
      <w:r>
        <w:br w:type="page"/>
      </w:r>
    </w:p>
    <w:p w:rsidR="001F3F11" w:rsidRPr="00D817EE" w:rsidRDefault="001F3F11" w:rsidP="007227BF">
      <w:pPr>
        <w:pStyle w:val="Heading3"/>
      </w:pPr>
      <w:bookmarkStart w:id="75" w:name="_Toc29546083"/>
      <w:r w:rsidRPr="00D817EE">
        <w:lastRenderedPageBreak/>
        <w:t xml:space="preserve">Article 33 </w:t>
      </w:r>
      <w:r w:rsidR="00C4409C">
        <w:t>–</w:t>
      </w:r>
      <w:r w:rsidRPr="00D817EE">
        <w:t xml:space="preserve"> Application et suivi au niveau national</w:t>
      </w:r>
      <w:bookmarkEnd w:id="73"/>
      <w:bookmarkEnd w:id="75"/>
    </w:p>
    <w:p w:rsidR="0072365E" w:rsidRDefault="0072365E" w:rsidP="00F85197">
      <w:pPr>
        <w:spacing w:after="20"/>
        <w:jc w:val="both"/>
      </w:pPr>
    </w:p>
    <w:p w:rsidR="008F02E9" w:rsidRPr="00D817EE" w:rsidRDefault="00D91410" w:rsidP="00F85197">
      <w:pPr>
        <w:spacing w:after="20"/>
        <w:jc w:val="both"/>
      </w:pPr>
      <w:r w:rsidRPr="00D817EE">
        <w:t xml:space="preserve">Le gouvernement français a désigné les référents ministériels en tant que </w:t>
      </w:r>
      <w:r w:rsidR="00A6432E">
        <w:t>« </w:t>
      </w:r>
      <w:r w:rsidRPr="00685995">
        <w:rPr>
          <w:b/>
        </w:rPr>
        <w:t>points de contact</w:t>
      </w:r>
      <w:r w:rsidR="00A6432E">
        <w:t xml:space="preserve"> » </w:t>
      </w:r>
      <w:r w:rsidRPr="00D817EE">
        <w:t xml:space="preserve">responsables de la mise en œuvre de la Convention au sein de l’administration, avec </w:t>
      </w:r>
      <w:r w:rsidRPr="00A41F3A">
        <w:rPr>
          <w:b/>
        </w:rPr>
        <w:t>le</w:t>
      </w:r>
      <w:r w:rsidR="009F6F18" w:rsidRPr="00A41F3A">
        <w:rPr>
          <w:b/>
        </w:rPr>
        <w:t xml:space="preserve"> Comité Interministériel du Handicap (CIH)</w:t>
      </w:r>
      <w:r w:rsidRPr="00D817EE">
        <w:t xml:space="preserve"> comme mécanisme de coordination</w:t>
      </w:r>
      <w:r w:rsidR="00764240" w:rsidRPr="00D817EE">
        <w:t xml:space="preserve"> depuis 2010</w:t>
      </w:r>
      <w:r w:rsidRPr="00D817EE">
        <w:t xml:space="preserve">. </w:t>
      </w:r>
      <w:r w:rsidR="00D817EE">
        <w:t>Ils</w:t>
      </w:r>
      <w:r w:rsidRPr="00D817EE">
        <w:t xml:space="preserve"> n’ont</w:t>
      </w:r>
      <w:r w:rsidR="00CA2296" w:rsidRPr="00D817EE">
        <w:t xml:space="preserve"> cependant</w:t>
      </w:r>
      <w:r w:rsidRPr="00D817EE">
        <w:t xml:space="preserve"> aucun contact organisé avec la société civile</w:t>
      </w:r>
      <w:r w:rsidR="008F02E9" w:rsidRPr="00D817EE">
        <w:t xml:space="preserve"> et ne rendent pas compte publiquement de leur activité. </w:t>
      </w:r>
    </w:p>
    <w:p w:rsidR="00CA2296" w:rsidRDefault="00CA2296" w:rsidP="00F85197">
      <w:pPr>
        <w:spacing w:after="20"/>
        <w:jc w:val="both"/>
      </w:pPr>
    </w:p>
    <w:p w:rsidR="00747A2D" w:rsidRDefault="00747A2D" w:rsidP="00F85197">
      <w:pPr>
        <w:spacing w:after="20"/>
        <w:jc w:val="both"/>
      </w:pPr>
      <w:r>
        <w:t xml:space="preserve">Le gouvernement a désigné le </w:t>
      </w:r>
      <w:r w:rsidRPr="00D817EE">
        <w:rPr>
          <w:b/>
        </w:rPr>
        <w:t>Défenseur des droits</w:t>
      </w:r>
      <w:r>
        <w:t xml:space="preserve">, autorité constitutionnelle indépendante, comme mécanisme de protection, de promotion et de suivi de la Convention en France. </w:t>
      </w:r>
    </w:p>
    <w:p w:rsidR="004D490D" w:rsidRPr="008F02E9" w:rsidRDefault="008F02E9" w:rsidP="00F85197">
      <w:pPr>
        <w:spacing w:after="20"/>
        <w:jc w:val="both"/>
      </w:pPr>
      <w:r>
        <w:t xml:space="preserve">Le </w:t>
      </w:r>
      <w:r w:rsidR="00D817EE">
        <w:t>Défenseur</w:t>
      </w:r>
      <w:r>
        <w:t xml:space="preserve"> des droits </w:t>
      </w:r>
      <w:r w:rsidR="00DE2729">
        <w:t xml:space="preserve">qui </w:t>
      </w:r>
      <w:r>
        <w:t xml:space="preserve">coordonne </w:t>
      </w:r>
      <w:r w:rsidR="00D817EE">
        <w:t>également</w:t>
      </w:r>
      <w:r>
        <w:t xml:space="preserve"> </w:t>
      </w:r>
      <w:r w:rsidR="00240941">
        <w:t>le</w:t>
      </w:r>
      <w:r w:rsidR="00240941">
        <w:rPr>
          <w:rFonts w:ascii="Calibri" w:hAnsi="Calibri" w:cs="Calibri"/>
          <w:color w:val="000000"/>
        </w:rPr>
        <w:t xml:space="preserve"> </w:t>
      </w:r>
      <w:r w:rsidR="00240941">
        <w:rPr>
          <w:rFonts w:ascii="Calibri" w:hAnsi="Calibri" w:cs="Calibri"/>
          <w:b/>
          <w:color w:val="000000"/>
        </w:rPr>
        <w:t>C</w:t>
      </w:r>
      <w:r w:rsidRPr="00D817EE">
        <w:rPr>
          <w:rFonts w:ascii="Calibri" w:hAnsi="Calibri" w:cs="Calibri"/>
          <w:b/>
          <w:color w:val="000000"/>
        </w:rPr>
        <w:t>omité de suivi de l’application de</w:t>
      </w:r>
      <w:r w:rsidR="004D490D" w:rsidRPr="00D817EE">
        <w:rPr>
          <w:rFonts w:ascii="Calibri" w:hAnsi="Calibri" w:cs="Calibri"/>
          <w:b/>
          <w:color w:val="000000"/>
        </w:rPr>
        <w:t xml:space="preserve"> Convention</w:t>
      </w:r>
      <w:r w:rsidR="004D490D" w:rsidRPr="004D490D">
        <w:rPr>
          <w:rFonts w:ascii="Calibri" w:hAnsi="Calibri" w:cs="Calibri"/>
          <w:color w:val="000000"/>
        </w:rPr>
        <w:t xml:space="preserve"> </w:t>
      </w:r>
      <w:r w:rsidR="004D490D">
        <w:rPr>
          <w:rFonts w:ascii="Calibri" w:hAnsi="Calibri" w:cs="Calibri"/>
          <w:color w:val="000000"/>
        </w:rPr>
        <w:t xml:space="preserve">est </w:t>
      </w:r>
      <w:r w:rsidR="004D490D" w:rsidRPr="004D490D">
        <w:rPr>
          <w:rFonts w:ascii="Calibri" w:hAnsi="Calibri" w:cs="Calibri"/>
          <w:color w:val="000000"/>
        </w:rPr>
        <w:t xml:space="preserve">composé du Conseil national consultatif des personnes handicapées (CNCPH), </w:t>
      </w:r>
      <w:r w:rsidR="00D817EE" w:rsidRPr="00F76503">
        <w:t xml:space="preserve">de la Commission nationale consultative des droits de l’homme </w:t>
      </w:r>
      <w:r w:rsidR="00D817EE">
        <w:t>(</w:t>
      </w:r>
      <w:r w:rsidR="004D490D" w:rsidRPr="004D490D">
        <w:rPr>
          <w:rFonts w:ascii="Calibri" w:hAnsi="Calibri" w:cs="Calibri"/>
          <w:color w:val="000000"/>
        </w:rPr>
        <w:t>CNCDH</w:t>
      </w:r>
      <w:r w:rsidR="00D817EE">
        <w:rPr>
          <w:rFonts w:ascii="Calibri" w:hAnsi="Calibri" w:cs="Calibri"/>
          <w:color w:val="000000"/>
        </w:rPr>
        <w:t>)</w:t>
      </w:r>
      <w:r w:rsidR="009340FC">
        <w:rPr>
          <w:rFonts w:ascii="Calibri" w:hAnsi="Calibri" w:cs="Calibri"/>
          <w:color w:val="000000"/>
        </w:rPr>
        <w:t xml:space="preserve">, </w:t>
      </w:r>
      <w:r w:rsidR="004D490D" w:rsidRPr="004D490D">
        <w:rPr>
          <w:rFonts w:ascii="Calibri" w:hAnsi="Calibri" w:cs="Calibri"/>
          <w:color w:val="000000"/>
        </w:rPr>
        <w:t xml:space="preserve">du CFHE, mais également du </w:t>
      </w:r>
      <w:r w:rsidR="009340FC">
        <w:rPr>
          <w:rFonts w:ascii="Calibri" w:hAnsi="Calibri" w:cs="Calibri"/>
          <w:color w:val="000000"/>
        </w:rPr>
        <w:t>CIH</w:t>
      </w:r>
      <w:r w:rsidR="00D817EE">
        <w:rPr>
          <w:rFonts w:ascii="Calibri" w:hAnsi="Calibri" w:cs="Calibri"/>
          <w:color w:val="000000"/>
        </w:rPr>
        <w:t xml:space="preserve"> en tant qu’observateur (car il n’est pas indépendant vis-à-vis du gouvernement). </w:t>
      </w:r>
    </w:p>
    <w:p w:rsidR="00764240" w:rsidRDefault="00764240" w:rsidP="00F85197">
      <w:pPr>
        <w:autoSpaceDE w:val="0"/>
        <w:autoSpaceDN w:val="0"/>
        <w:adjustRightInd w:val="0"/>
        <w:spacing w:after="20"/>
        <w:rPr>
          <w:rFonts w:ascii="Calibri" w:hAnsi="Calibri" w:cs="Calibri"/>
          <w:color w:val="000000"/>
        </w:rPr>
      </w:pPr>
    </w:p>
    <w:p w:rsidR="00800151" w:rsidRPr="00800151" w:rsidRDefault="00764240" w:rsidP="00F85197">
      <w:pPr>
        <w:spacing w:after="20"/>
        <w:jc w:val="both"/>
      </w:pPr>
      <w:r w:rsidRPr="00800151">
        <w:t>Le Défenseur des droits</w:t>
      </w:r>
      <w:r w:rsidR="00800151" w:rsidRPr="00800151">
        <w:t xml:space="preserve"> assure la tenue et le suivi des réunions de ce comité, malgré </w:t>
      </w:r>
      <w:r w:rsidR="00800151">
        <w:t>le fait qu’</w:t>
      </w:r>
      <w:r w:rsidR="00800151" w:rsidRPr="00800151">
        <w:t>aucun financement spécifique pour remplir cette fonction</w:t>
      </w:r>
      <w:r w:rsidR="00800151">
        <w:t xml:space="preserve"> ni personnel dédié ne lui a</w:t>
      </w:r>
      <w:r w:rsidR="00D817EE">
        <w:t>it</w:t>
      </w:r>
      <w:r w:rsidR="00800151">
        <w:t xml:space="preserve"> été confié. </w:t>
      </w:r>
    </w:p>
    <w:p w:rsidR="00D817EE" w:rsidRPr="00685995" w:rsidRDefault="00D817EE" w:rsidP="00F85197">
      <w:pPr>
        <w:spacing w:after="20"/>
        <w:jc w:val="both"/>
      </w:pPr>
      <w:r>
        <w:t>Il</w:t>
      </w:r>
      <w:r w:rsidR="00800151" w:rsidRPr="00800151">
        <w:t xml:space="preserve"> a su cependant</w:t>
      </w:r>
      <w:r w:rsidR="00764240">
        <w:t xml:space="preserve"> s’emparer de la question de </w:t>
      </w:r>
      <w:r w:rsidR="00764240" w:rsidRPr="00BB1B04">
        <w:rPr>
          <w:b/>
        </w:rPr>
        <w:t>l’effectivité de la Convention dans le droit français et travaille activement sur l’invocabilité</w:t>
      </w:r>
      <w:r w:rsidR="00800151" w:rsidRPr="00BB1B04">
        <w:rPr>
          <w:b/>
        </w:rPr>
        <w:t xml:space="preserve"> de la Convention.</w:t>
      </w:r>
      <w:r w:rsidR="00800151">
        <w:t xml:space="preserve"> </w:t>
      </w:r>
      <w:r w:rsidR="00800151" w:rsidRPr="009F7086">
        <w:rPr>
          <w:rFonts w:cstheme="minorHAnsi"/>
        </w:rPr>
        <w:t>L'article 55 de la Constitution dispose que les Conventions internationales ratifiées par la France prévalent sur les lois nationales. Or, le Conseil constitutionnel, le Conseil d'Etat et la Cour de cassation s'estiment incompétentes pour juger de l'invocabilité d'une Convention internationale.</w:t>
      </w:r>
    </w:p>
    <w:p w:rsidR="00D0337F" w:rsidRDefault="00D0337F" w:rsidP="00F85197">
      <w:pPr>
        <w:spacing w:after="20"/>
        <w:jc w:val="both"/>
      </w:pPr>
    </w:p>
    <w:tbl>
      <w:tblPr>
        <w:tblStyle w:val="GridTable1Light-Accent1"/>
        <w:tblW w:w="0" w:type="auto"/>
        <w:tblLook w:val="04A0" w:firstRow="1" w:lastRow="0" w:firstColumn="1" w:lastColumn="0" w:noHBand="0" w:noVBand="1"/>
      </w:tblPr>
      <w:tblGrid>
        <w:gridCol w:w="9062"/>
      </w:tblGrid>
      <w:tr w:rsidR="00D0337F" w:rsidTr="00A41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F2F7FC"/>
          </w:tcPr>
          <w:p w:rsidR="00D0337F" w:rsidRDefault="00D0337F" w:rsidP="00F85197">
            <w:pPr>
              <w:pStyle w:val="Heading7"/>
              <w:spacing w:before="0" w:after="20" w:line="259" w:lineRule="auto"/>
              <w:outlineLvl w:val="6"/>
            </w:pPr>
            <w:bookmarkStart w:id="76" w:name="_Toc20128155"/>
            <w:r w:rsidRPr="00F2623F">
              <w:rPr>
                <w:rStyle w:val="Emphasis"/>
                <w:i/>
                <w:iCs/>
              </w:rPr>
              <w:t>Recommandations</w:t>
            </w:r>
            <w:bookmarkEnd w:id="76"/>
            <w:r>
              <w:t> </w:t>
            </w:r>
          </w:p>
          <w:p w:rsidR="0029733C" w:rsidRPr="0029733C" w:rsidRDefault="0029733C" w:rsidP="0029733C">
            <w:pPr>
              <w:rPr>
                <w:lang w:eastAsia="en-GB"/>
              </w:rPr>
            </w:pPr>
          </w:p>
          <w:p w:rsidR="006272A4" w:rsidRPr="00591F1A" w:rsidRDefault="006272A4" w:rsidP="00027EF9">
            <w:pPr>
              <w:pStyle w:val="ListParagraph"/>
              <w:widowControl w:val="0"/>
              <w:numPr>
                <w:ilvl w:val="0"/>
                <w:numId w:val="5"/>
              </w:numPr>
              <w:autoSpaceDE w:val="0"/>
              <w:autoSpaceDN w:val="0"/>
              <w:spacing w:after="20" w:line="259" w:lineRule="auto"/>
              <w:ind w:right="113"/>
              <w:contextualSpacing w:val="0"/>
              <w:jc w:val="both"/>
            </w:pPr>
            <w:r w:rsidRPr="00591F1A">
              <w:t xml:space="preserve">Définir un mandat clair des </w:t>
            </w:r>
            <w:r w:rsidR="00A6432E">
              <w:t>« </w:t>
            </w:r>
            <w:r w:rsidRPr="00591F1A">
              <w:t>points de contact</w:t>
            </w:r>
            <w:r w:rsidR="00A6432E">
              <w:t> »</w:t>
            </w:r>
            <w:r w:rsidRPr="00591F1A">
              <w:t xml:space="preserve"> pour la mise en œuvre de la Convention</w:t>
            </w:r>
            <w:r w:rsidR="003739C4">
              <w:t xml:space="preserve"> et former les personnes en charge dans les différents ministères</w:t>
            </w:r>
            <w:r w:rsidR="008F3795">
              <w:t>.</w:t>
            </w:r>
            <w:r w:rsidR="008F3795">
              <w:rPr>
                <w:rStyle w:val="EndnoteReference"/>
              </w:rPr>
              <w:endnoteReference w:id="54"/>
            </w:r>
          </w:p>
          <w:p w:rsidR="006272A4" w:rsidRPr="00591F1A" w:rsidRDefault="006272A4" w:rsidP="00027EF9">
            <w:pPr>
              <w:pStyle w:val="ListParagraph"/>
              <w:widowControl w:val="0"/>
              <w:numPr>
                <w:ilvl w:val="0"/>
                <w:numId w:val="5"/>
              </w:numPr>
              <w:autoSpaceDE w:val="0"/>
              <w:autoSpaceDN w:val="0"/>
              <w:spacing w:after="20" w:line="259" w:lineRule="auto"/>
              <w:ind w:right="113"/>
              <w:contextualSpacing w:val="0"/>
              <w:jc w:val="both"/>
            </w:pPr>
            <w:r w:rsidRPr="00591F1A">
              <w:t>Accorder un appui technique et financier suffisant aux points de contact et au secrétariat général du CIH</w:t>
            </w:r>
            <w:r w:rsidR="00B81B79">
              <w:t>.</w:t>
            </w:r>
          </w:p>
          <w:p w:rsidR="006272A4" w:rsidRPr="004F34A7" w:rsidRDefault="006272A4" w:rsidP="00027EF9">
            <w:pPr>
              <w:pStyle w:val="ListParagraph"/>
              <w:widowControl w:val="0"/>
              <w:numPr>
                <w:ilvl w:val="0"/>
                <w:numId w:val="5"/>
              </w:numPr>
              <w:autoSpaceDE w:val="0"/>
              <w:autoSpaceDN w:val="0"/>
              <w:spacing w:after="20" w:line="259" w:lineRule="auto"/>
              <w:ind w:right="113"/>
              <w:contextualSpacing w:val="0"/>
              <w:jc w:val="both"/>
            </w:pPr>
            <w:r w:rsidRPr="004F34A7">
              <w:lastRenderedPageBreak/>
              <w:t xml:space="preserve">Définir </w:t>
            </w:r>
            <w:r w:rsidR="00B81B79" w:rsidRPr="004F34A7">
              <w:t xml:space="preserve">la composition et </w:t>
            </w:r>
            <w:r w:rsidRPr="004F34A7">
              <w:t>le mandat du mécanisme indépendant de suivi de façon qu’il puisse assurer la promotion, la protection et la surveillance de tous les droits inscrits dans la Convention et l’inscrire dans un texte constitutionnel ou législatif.</w:t>
            </w:r>
          </w:p>
          <w:p w:rsidR="006272A4" w:rsidRPr="00591F1A" w:rsidRDefault="00B81B79" w:rsidP="00027EF9">
            <w:pPr>
              <w:pStyle w:val="ListParagraph"/>
              <w:widowControl w:val="0"/>
              <w:numPr>
                <w:ilvl w:val="0"/>
                <w:numId w:val="5"/>
              </w:numPr>
              <w:autoSpaceDE w:val="0"/>
              <w:autoSpaceDN w:val="0"/>
              <w:spacing w:after="20" w:line="259" w:lineRule="auto"/>
              <w:ind w:right="113"/>
              <w:contextualSpacing w:val="0"/>
              <w:jc w:val="both"/>
            </w:pPr>
            <w:r>
              <w:t xml:space="preserve">Octroyer des moyens suffisants au </w:t>
            </w:r>
            <w:r w:rsidR="006272A4" w:rsidRPr="00591F1A">
              <w:t>mécanisme indépendant de suivi</w:t>
            </w:r>
            <w:r>
              <w:t>.</w:t>
            </w:r>
          </w:p>
          <w:p w:rsidR="00D0337F" w:rsidRPr="00B81B79" w:rsidRDefault="006272A4" w:rsidP="00027EF9">
            <w:pPr>
              <w:pStyle w:val="ListParagraph"/>
              <w:widowControl w:val="0"/>
              <w:numPr>
                <w:ilvl w:val="0"/>
                <w:numId w:val="5"/>
              </w:numPr>
              <w:autoSpaceDE w:val="0"/>
              <w:autoSpaceDN w:val="0"/>
              <w:spacing w:after="20" w:line="259" w:lineRule="auto"/>
              <w:ind w:right="113"/>
              <w:contextualSpacing w:val="0"/>
              <w:jc w:val="both"/>
            </w:pPr>
            <w:r w:rsidRPr="00591F1A">
              <w:t>Veiller à ce que les points de contact et le mécanisme indépendant de suivi puissent interagir</w:t>
            </w:r>
            <w:r w:rsidR="00B81B79">
              <w:t>.</w:t>
            </w:r>
          </w:p>
          <w:p w:rsidR="00D0337F" w:rsidRDefault="00D0337F" w:rsidP="00F85197">
            <w:pPr>
              <w:spacing w:after="20" w:line="259" w:lineRule="auto"/>
              <w:jc w:val="both"/>
            </w:pPr>
          </w:p>
        </w:tc>
      </w:tr>
    </w:tbl>
    <w:p w:rsidR="00D0337F" w:rsidRDefault="00D0337F" w:rsidP="00F85197">
      <w:pPr>
        <w:spacing w:after="20"/>
        <w:jc w:val="both"/>
      </w:pPr>
    </w:p>
    <w:p w:rsidR="00A35860" w:rsidRDefault="00A35860">
      <w:pPr>
        <w:spacing w:after="160"/>
      </w:pPr>
      <w:r>
        <w:br w:type="page"/>
      </w:r>
    </w:p>
    <w:p w:rsidR="00A35860" w:rsidRPr="007333A6" w:rsidRDefault="00A35860" w:rsidP="00104F31">
      <w:pPr>
        <w:pStyle w:val="Heading1"/>
        <w:spacing w:before="0" w:after="20"/>
        <w:jc w:val="both"/>
      </w:pPr>
      <w:bookmarkStart w:id="77" w:name="_Toc29546084"/>
      <w:r w:rsidRPr="00A35860">
        <w:lastRenderedPageBreak/>
        <w:t>Sigles</w:t>
      </w:r>
      <w:bookmarkEnd w:id="7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134"/>
        <w:gridCol w:w="7229"/>
      </w:tblGrid>
      <w:tr w:rsidR="00A35860" w:rsidRPr="002A6084" w:rsidTr="00063001">
        <w:trPr>
          <w:trHeight w:val="290"/>
        </w:trPr>
        <w:tc>
          <w:tcPr>
            <w:tcW w:w="709" w:type="dxa"/>
            <w:shd w:val="clear" w:color="auto" w:fill="E5EBF7"/>
          </w:tcPr>
          <w:p w:rsidR="00A35860" w:rsidRPr="002A6084" w:rsidRDefault="00A35860" w:rsidP="005C7697">
            <w:pPr>
              <w:pStyle w:val="Heading7"/>
              <w:spacing w:before="20" w:after="20" w:line="259" w:lineRule="auto"/>
              <w:outlineLvl w:val="6"/>
              <w:rPr>
                <w:b/>
                <w:sz w:val="22"/>
              </w:rPr>
            </w:pPr>
            <w:r w:rsidRPr="002A6084">
              <w:rPr>
                <w:b/>
                <w:sz w:val="22"/>
              </w:rPr>
              <w:t>A</w:t>
            </w:r>
          </w:p>
        </w:tc>
        <w:tc>
          <w:tcPr>
            <w:tcW w:w="8363" w:type="dxa"/>
            <w:gridSpan w:val="2"/>
            <w:shd w:val="clear" w:color="auto" w:fill="E5EBF7"/>
          </w:tcPr>
          <w:p w:rsidR="00A35860" w:rsidRPr="002A6084" w:rsidRDefault="00A35860" w:rsidP="005C7697">
            <w:pPr>
              <w:pStyle w:val="Heading7"/>
              <w:spacing w:before="20" w:after="20" w:line="259" w:lineRule="auto"/>
              <w:outlineLvl w:val="6"/>
              <w:rPr>
                <w:b/>
                <w:sz w:val="22"/>
              </w:rPr>
            </w:pPr>
          </w:p>
        </w:tc>
      </w:tr>
      <w:tr w:rsidR="00A35860" w:rsidRPr="008F6C2A" w:rsidTr="00063001">
        <w:trPr>
          <w:trHeight w:val="290"/>
        </w:trPr>
        <w:tc>
          <w:tcPr>
            <w:tcW w:w="709" w:type="dxa"/>
          </w:tcPr>
          <w:p w:rsidR="00A35860" w:rsidRPr="008F6C2A" w:rsidRDefault="00A35860" w:rsidP="00063001">
            <w:pPr>
              <w:jc w:val="both"/>
              <w:rPr>
                <w:sz w:val="20"/>
                <w:szCs w:val="20"/>
              </w:rPr>
            </w:pPr>
          </w:p>
        </w:tc>
        <w:tc>
          <w:tcPr>
            <w:tcW w:w="1134" w:type="dxa"/>
          </w:tcPr>
          <w:p w:rsidR="00A35860" w:rsidRPr="008F6C2A" w:rsidRDefault="00A35860" w:rsidP="00063001">
            <w:pPr>
              <w:jc w:val="both"/>
              <w:rPr>
                <w:sz w:val="20"/>
                <w:szCs w:val="20"/>
              </w:rPr>
            </w:pPr>
            <w:r w:rsidRPr="008F6C2A">
              <w:rPr>
                <w:sz w:val="20"/>
                <w:szCs w:val="20"/>
              </w:rPr>
              <w:t>AAH</w:t>
            </w:r>
          </w:p>
        </w:tc>
        <w:tc>
          <w:tcPr>
            <w:tcW w:w="7229" w:type="dxa"/>
          </w:tcPr>
          <w:p w:rsidR="00A35860" w:rsidRPr="008F6C2A" w:rsidRDefault="00A35860" w:rsidP="00063001">
            <w:pPr>
              <w:jc w:val="both"/>
              <w:rPr>
                <w:sz w:val="20"/>
                <w:szCs w:val="20"/>
              </w:rPr>
            </w:pPr>
            <w:r w:rsidRPr="008F6C2A">
              <w:rPr>
                <w:sz w:val="20"/>
                <w:szCs w:val="20"/>
              </w:rPr>
              <w:t xml:space="preserve">Allocation adulte handicapé </w:t>
            </w:r>
          </w:p>
        </w:tc>
      </w:tr>
      <w:tr w:rsidR="00A35860" w:rsidRPr="008F6C2A" w:rsidTr="00063001">
        <w:trPr>
          <w:trHeight w:val="290"/>
        </w:trPr>
        <w:tc>
          <w:tcPr>
            <w:tcW w:w="709" w:type="dxa"/>
          </w:tcPr>
          <w:p w:rsidR="00A35860" w:rsidRPr="008F6C2A" w:rsidRDefault="00A35860" w:rsidP="00063001">
            <w:pPr>
              <w:jc w:val="both"/>
              <w:rPr>
                <w:sz w:val="20"/>
                <w:szCs w:val="20"/>
              </w:rPr>
            </w:pPr>
          </w:p>
        </w:tc>
        <w:tc>
          <w:tcPr>
            <w:tcW w:w="1134" w:type="dxa"/>
          </w:tcPr>
          <w:p w:rsidR="00A35860" w:rsidRPr="008F6C2A" w:rsidRDefault="00A35860" w:rsidP="00063001">
            <w:pPr>
              <w:jc w:val="both"/>
              <w:rPr>
                <w:sz w:val="20"/>
                <w:szCs w:val="20"/>
              </w:rPr>
            </w:pPr>
            <w:r w:rsidRPr="008F6C2A">
              <w:rPr>
                <w:sz w:val="20"/>
                <w:szCs w:val="20"/>
              </w:rPr>
              <w:t xml:space="preserve">Ad’Ap </w:t>
            </w:r>
          </w:p>
        </w:tc>
        <w:tc>
          <w:tcPr>
            <w:tcW w:w="7229" w:type="dxa"/>
          </w:tcPr>
          <w:p w:rsidR="00A35860" w:rsidRPr="008F6C2A" w:rsidRDefault="00A35860" w:rsidP="00063001">
            <w:pPr>
              <w:jc w:val="both"/>
              <w:rPr>
                <w:sz w:val="20"/>
                <w:szCs w:val="20"/>
              </w:rPr>
            </w:pPr>
            <w:r w:rsidRPr="008F6C2A">
              <w:rPr>
                <w:sz w:val="20"/>
                <w:szCs w:val="20"/>
              </w:rPr>
              <w:t xml:space="preserve">Agenda d’accessibilité programmée </w:t>
            </w:r>
          </w:p>
        </w:tc>
      </w:tr>
      <w:tr w:rsidR="00A35860" w:rsidRPr="008F6C2A" w:rsidTr="00063001">
        <w:trPr>
          <w:trHeight w:val="290"/>
        </w:trPr>
        <w:tc>
          <w:tcPr>
            <w:tcW w:w="709" w:type="dxa"/>
          </w:tcPr>
          <w:p w:rsidR="00A35860" w:rsidRPr="008F6C2A" w:rsidRDefault="00A35860" w:rsidP="00063001">
            <w:pPr>
              <w:jc w:val="both"/>
              <w:rPr>
                <w:sz w:val="20"/>
                <w:szCs w:val="20"/>
              </w:rPr>
            </w:pPr>
          </w:p>
        </w:tc>
        <w:tc>
          <w:tcPr>
            <w:tcW w:w="1134" w:type="dxa"/>
          </w:tcPr>
          <w:p w:rsidR="00A35860" w:rsidRPr="008F6C2A" w:rsidRDefault="00A35860" w:rsidP="00063001">
            <w:pPr>
              <w:jc w:val="both"/>
              <w:rPr>
                <w:sz w:val="20"/>
                <w:szCs w:val="20"/>
              </w:rPr>
            </w:pPr>
            <w:r w:rsidRPr="008F6C2A">
              <w:rPr>
                <w:sz w:val="20"/>
                <w:szCs w:val="20"/>
              </w:rPr>
              <w:t>AEEH</w:t>
            </w:r>
          </w:p>
        </w:tc>
        <w:tc>
          <w:tcPr>
            <w:tcW w:w="7229" w:type="dxa"/>
          </w:tcPr>
          <w:p w:rsidR="00A35860" w:rsidRPr="008F6C2A" w:rsidRDefault="00A35860" w:rsidP="00063001">
            <w:pPr>
              <w:jc w:val="both"/>
              <w:rPr>
                <w:sz w:val="20"/>
                <w:szCs w:val="20"/>
              </w:rPr>
            </w:pPr>
            <w:r w:rsidRPr="008F6C2A">
              <w:rPr>
                <w:sz w:val="20"/>
                <w:szCs w:val="20"/>
              </w:rPr>
              <w:t xml:space="preserve">Allocation d’éducation de l’enfant handicapé </w:t>
            </w:r>
          </w:p>
        </w:tc>
      </w:tr>
      <w:tr w:rsidR="00A35860" w:rsidRPr="008F6C2A" w:rsidTr="00063001">
        <w:trPr>
          <w:trHeight w:val="290"/>
        </w:trPr>
        <w:tc>
          <w:tcPr>
            <w:tcW w:w="709" w:type="dxa"/>
          </w:tcPr>
          <w:p w:rsidR="00A35860" w:rsidRPr="008F6C2A" w:rsidRDefault="00A35860" w:rsidP="00063001">
            <w:pPr>
              <w:jc w:val="both"/>
              <w:rPr>
                <w:sz w:val="20"/>
                <w:szCs w:val="20"/>
              </w:rPr>
            </w:pPr>
          </w:p>
        </w:tc>
        <w:tc>
          <w:tcPr>
            <w:tcW w:w="1134" w:type="dxa"/>
          </w:tcPr>
          <w:p w:rsidR="00A35860" w:rsidRPr="008F6C2A" w:rsidRDefault="00A35860" w:rsidP="00063001">
            <w:pPr>
              <w:jc w:val="both"/>
              <w:rPr>
                <w:sz w:val="20"/>
                <w:szCs w:val="20"/>
              </w:rPr>
            </w:pPr>
            <w:r w:rsidRPr="008F6C2A">
              <w:rPr>
                <w:sz w:val="20"/>
                <w:szCs w:val="20"/>
              </w:rPr>
              <w:t xml:space="preserve">AESH </w:t>
            </w:r>
          </w:p>
        </w:tc>
        <w:tc>
          <w:tcPr>
            <w:tcW w:w="7229" w:type="dxa"/>
          </w:tcPr>
          <w:p w:rsidR="00A35860" w:rsidRPr="008F6C2A" w:rsidRDefault="00A35860" w:rsidP="00063001">
            <w:pPr>
              <w:jc w:val="both"/>
              <w:rPr>
                <w:sz w:val="20"/>
                <w:szCs w:val="20"/>
              </w:rPr>
            </w:pPr>
            <w:r w:rsidRPr="008F6C2A">
              <w:rPr>
                <w:sz w:val="20"/>
                <w:szCs w:val="20"/>
              </w:rPr>
              <w:t xml:space="preserve">Accompagnant d’élève en situation de handicap </w:t>
            </w:r>
          </w:p>
        </w:tc>
      </w:tr>
      <w:tr w:rsidR="00A35860" w:rsidRPr="008F6C2A" w:rsidTr="00063001">
        <w:trPr>
          <w:trHeight w:val="290"/>
        </w:trPr>
        <w:tc>
          <w:tcPr>
            <w:tcW w:w="709" w:type="dxa"/>
          </w:tcPr>
          <w:p w:rsidR="00A35860" w:rsidRPr="008F6C2A" w:rsidRDefault="00A35860" w:rsidP="00063001">
            <w:pPr>
              <w:jc w:val="both"/>
              <w:rPr>
                <w:sz w:val="20"/>
                <w:szCs w:val="20"/>
              </w:rPr>
            </w:pPr>
          </w:p>
        </w:tc>
        <w:tc>
          <w:tcPr>
            <w:tcW w:w="1134" w:type="dxa"/>
          </w:tcPr>
          <w:p w:rsidR="00A35860" w:rsidRPr="008F6C2A" w:rsidRDefault="00A35860" w:rsidP="00063001">
            <w:pPr>
              <w:jc w:val="both"/>
              <w:rPr>
                <w:sz w:val="20"/>
                <w:szCs w:val="20"/>
              </w:rPr>
            </w:pPr>
            <w:r w:rsidRPr="008F6C2A">
              <w:rPr>
                <w:sz w:val="20"/>
                <w:szCs w:val="20"/>
              </w:rPr>
              <w:t>AFD</w:t>
            </w:r>
          </w:p>
        </w:tc>
        <w:tc>
          <w:tcPr>
            <w:tcW w:w="7229" w:type="dxa"/>
          </w:tcPr>
          <w:p w:rsidR="00A35860" w:rsidRPr="008F6C2A" w:rsidRDefault="00A35860" w:rsidP="00063001">
            <w:pPr>
              <w:jc w:val="both"/>
              <w:rPr>
                <w:sz w:val="20"/>
                <w:szCs w:val="20"/>
              </w:rPr>
            </w:pPr>
            <w:r w:rsidRPr="008F6C2A">
              <w:rPr>
                <w:sz w:val="20"/>
                <w:szCs w:val="20"/>
              </w:rPr>
              <w:t xml:space="preserve">Agence française du développement </w:t>
            </w:r>
          </w:p>
        </w:tc>
      </w:tr>
      <w:tr w:rsidR="00A35860" w:rsidRPr="002A6084" w:rsidTr="00063001">
        <w:trPr>
          <w:trHeight w:val="290"/>
        </w:trPr>
        <w:tc>
          <w:tcPr>
            <w:tcW w:w="709" w:type="dxa"/>
            <w:shd w:val="clear" w:color="auto" w:fill="DEEAF6" w:themeFill="accent1" w:themeFillTint="33"/>
          </w:tcPr>
          <w:p w:rsidR="00A35860" w:rsidRPr="002A6084" w:rsidRDefault="00A35860" w:rsidP="005C7697">
            <w:pPr>
              <w:pStyle w:val="Heading7"/>
              <w:spacing w:before="20" w:after="20" w:line="259" w:lineRule="auto"/>
              <w:outlineLvl w:val="6"/>
              <w:rPr>
                <w:b/>
                <w:sz w:val="22"/>
              </w:rPr>
            </w:pPr>
            <w:r w:rsidRPr="002A6084">
              <w:rPr>
                <w:b/>
                <w:sz w:val="22"/>
              </w:rPr>
              <w:t>C</w:t>
            </w:r>
          </w:p>
        </w:tc>
        <w:tc>
          <w:tcPr>
            <w:tcW w:w="8363" w:type="dxa"/>
            <w:gridSpan w:val="2"/>
            <w:shd w:val="clear" w:color="auto" w:fill="DEEAF6" w:themeFill="accent1" w:themeFillTint="33"/>
          </w:tcPr>
          <w:p w:rsidR="00A35860" w:rsidRPr="002A6084" w:rsidRDefault="00A35860" w:rsidP="005C7697">
            <w:pPr>
              <w:pStyle w:val="Heading7"/>
              <w:spacing w:before="20" w:after="20" w:line="259" w:lineRule="auto"/>
              <w:outlineLvl w:val="6"/>
              <w:rPr>
                <w:b/>
                <w:sz w:val="22"/>
              </w:rPr>
            </w:pPr>
          </w:p>
        </w:tc>
      </w:tr>
      <w:tr w:rsidR="00A35860" w:rsidRPr="008F6C2A" w:rsidTr="00063001">
        <w:trPr>
          <w:trHeight w:val="290"/>
        </w:trPr>
        <w:tc>
          <w:tcPr>
            <w:tcW w:w="709" w:type="dxa"/>
          </w:tcPr>
          <w:p w:rsidR="00A35860" w:rsidRPr="008F6C2A" w:rsidRDefault="00A35860" w:rsidP="00063001">
            <w:pPr>
              <w:jc w:val="both"/>
              <w:rPr>
                <w:sz w:val="20"/>
                <w:szCs w:val="20"/>
              </w:rPr>
            </w:pPr>
          </w:p>
        </w:tc>
        <w:tc>
          <w:tcPr>
            <w:tcW w:w="1134" w:type="dxa"/>
          </w:tcPr>
          <w:p w:rsidR="00A35860" w:rsidRPr="008F6C2A" w:rsidRDefault="00A35860" w:rsidP="00063001">
            <w:pPr>
              <w:jc w:val="both"/>
              <w:rPr>
                <w:sz w:val="20"/>
                <w:szCs w:val="20"/>
              </w:rPr>
            </w:pPr>
            <w:r w:rsidRPr="008F6C2A">
              <w:rPr>
                <w:sz w:val="20"/>
                <w:szCs w:val="20"/>
              </w:rPr>
              <w:t xml:space="preserve">CFHE </w:t>
            </w:r>
          </w:p>
        </w:tc>
        <w:tc>
          <w:tcPr>
            <w:tcW w:w="7229" w:type="dxa"/>
          </w:tcPr>
          <w:p w:rsidR="00A35860" w:rsidRPr="008F6C2A" w:rsidRDefault="00A35860" w:rsidP="00063001">
            <w:pPr>
              <w:jc w:val="both"/>
              <w:rPr>
                <w:sz w:val="20"/>
                <w:szCs w:val="20"/>
              </w:rPr>
            </w:pPr>
            <w:r w:rsidRPr="008F6C2A">
              <w:rPr>
                <w:sz w:val="20"/>
                <w:szCs w:val="20"/>
              </w:rPr>
              <w:t xml:space="preserve">Conseil français des personnes handicapées pour les questions européennes </w:t>
            </w:r>
          </w:p>
        </w:tc>
      </w:tr>
      <w:tr w:rsidR="00A35860" w:rsidRPr="008F6C2A" w:rsidTr="00063001">
        <w:trPr>
          <w:trHeight w:val="290"/>
        </w:trPr>
        <w:tc>
          <w:tcPr>
            <w:tcW w:w="709" w:type="dxa"/>
          </w:tcPr>
          <w:p w:rsidR="00A35860" w:rsidRPr="008F6C2A" w:rsidRDefault="00A35860" w:rsidP="00063001">
            <w:pPr>
              <w:jc w:val="both"/>
              <w:rPr>
                <w:sz w:val="20"/>
                <w:szCs w:val="20"/>
              </w:rPr>
            </w:pPr>
          </w:p>
        </w:tc>
        <w:tc>
          <w:tcPr>
            <w:tcW w:w="1134" w:type="dxa"/>
          </w:tcPr>
          <w:p w:rsidR="00A35860" w:rsidRPr="008F6C2A" w:rsidRDefault="00A35860" w:rsidP="00063001">
            <w:pPr>
              <w:jc w:val="both"/>
              <w:rPr>
                <w:sz w:val="20"/>
                <w:szCs w:val="20"/>
              </w:rPr>
            </w:pPr>
            <w:r w:rsidRPr="008F6C2A">
              <w:rPr>
                <w:sz w:val="20"/>
                <w:szCs w:val="20"/>
              </w:rPr>
              <w:t>CIDE</w:t>
            </w:r>
          </w:p>
        </w:tc>
        <w:tc>
          <w:tcPr>
            <w:tcW w:w="7229" w:type="dxa"/>
          </w:tcPr>
          <w:p w:rsidR="00A35860" w:rsidRPr="008F6C2A" w:rsidRDefault="00A35860" w:rsidP="00063001">
            <w:pPr>
              <w:jc w:val="both"/>
              <w:rPr>
                <w:sz w:val="20"/>
                <w:szCs w:val="20"/>
              </w:rPr>
            </w:pPr>
            <w:r w:rsidRPr="008F6C2A">
              <w:rPr>
                <w:sz w:val="20"/>
                <w:szCs w:val="20"/>
              </w:rPr>
              <w:t xml:space="preserve">Convention internationale relative aux droits de l’enfant </w:t>
            </w:r>
          </w:p>
        </w:tc>
      </w:tr>
      <w:tr w:rsidR="005C7697" w:rsidRPr="008F6C2A" w:rsidTr="00063001">
        <w:trPr>
          <w:trHeight w:val="290"/>
        </w:trPr>
        <w:tc>
          <w:tcPr>
            <w:tcW w:w="709" w:type="dxa"/>
          </w:tcPr>
          <w:p w:rsidR="005C7697" w:rsidRPr="008F6C2A" w:rsidRDefault="005C7697" w:rsidP="00063001">
            <w:pPr>
              <w:jc w:val="both"/>
              <w:rPr>
                <w:sz w:val="20"/>
                <w:szCs w:val="20"/>
              </w:rPr>
            </w:pPr>
          </w:p>
        </w:tc>
        <w:tc>
          <w:tcPr>
            <w:tcW w:w="1134" w:type="dxa"/>
          </w:tcPr>
          <w:p w:rsidR="005C7697" w:rsidRPr="008F6C2A" w:rsidRDefault="005C7697" w:rsidP="00063001">
            <w:pPr>
              <w:jc w:val="both"/>
              <w:rPr>
                <w:sz w:val="20"/>
                <w:szCs w:val="20"/>
              </w:rPr>
            </w:pPr>
            <w:r>
              <w:rPr>
                <w:sz w:val="20"/>
                <w:szCs w:val="20"/>
              </w:rPr>
              <w:t>CIDPH</w:t>
            </w:r>
          </w:p>
        </w:tc>
        <w:tc>
          <w:tcPr>
            <w:tcW w:w="7229" w:type="dxa"/>
          </w:tcPr>
          <w:p w:rsidR="005C7697" w:rsidRPr="008F6C2A" w:rsidRDefault="005C7697" w:rsidP="005C7697">
            <w:pPr>
              <w:jc w:val="both"/>
              <w:rPr>
                <w:sz w:val="20"/>
                <w:szCs w:val="20"/>
              </w:rPr>
            </w:pPr>
            <w:r>
              <w:rPr>
                <w:sz w:val="20"/>
                <w:szCs w:val="20"/>
              </w:rPr>
              <w:t xml:space="preserve">Convention internationale relative aux droits des personnes handicapées </w:t>
            </w:r>
          </w:p>
        </w:tc>
      </w:tr>
      <w:tr w:rsidR="00A35860" w:rsidRPr="008F6C2A" w:rsidTr="00063001">
        <w:trPr>
          <w:trHeight w:val="290"/>
        </w:trPr>
        <w:tc>
          <w:tcPr>
            <w:tcW w:w="709" w:type="dxa"/>
          </w:tcPr>
          <w:p w:rsidR="00A35860" w:rsidRPr="008F6C2A" w:rsidRDefault="00A35860" w:rsidP="00063001">
            <w:pPr>
              <w:jc w:val="both"/>
              <w:rPr>
                <w:sz w:val="20"/>
                <w:szCs w:val="20"/>
              </w:rPr>
            </w:pPr>
          </w:p>
        </w:tc>
        <w:tc>
          <w:tcPr>
            <w:tcW w:w="1134" w:type="dxa"/>
          </w:tcPr>
          <w:p w:rsidR="00A35860" w:rsidRPr="008F6C2A" w:rsidRDefault="00A35860" w:rsidP="00063001">
            <w:pPr>
              <w:jc w:val="both"/>
              <w:rPr>
                <w:sz w:val="20"/>
                <w:szCs w:val="20"/>
              </w:rPr>
            </w:pPr>
            <w:r w:rsidRPr="008F6C2A">
              <w:rPr>
                <w:sz w:val="20"/>
                <w:szCs w:val="20"/>
              </w:rPr>
              <w:t>CIH</w:t>
            </w:r>
          </w:p>
        </w:tc>
        <w:tc>
          <w:tcPr>
            <w:tcW w:w="7229" w:type="dxa"/>
          </w:tcPr>
          <w:p w:rsidR="00A35860" w:rsidRPr="008F6C2A" w:rsidRDefault="00A35860" w:rsidP="00063001">
            <w:pPr>
              <w:jc w:val="both"/>
              <w:rPr>
                <w:sz w:val="20"/>
                <w:szCs w:val="20"/>
              </w:rPr>
            </w:pPr>
            <w:r w:rsidRPr="008F6C2A">
              <w:rPr>
                <w:sz w:val="20"/>
                <w:szCs w:val="20"/>
              </w:rPr>
              <w:t>Comité interministériel du handicap</w:t>
            </w:r>
          </w:p>
        </w:tc>
      </w:tr>
      <w:tr w:rsidR="00A35860" w:rsidRPr="008F6C2A" w:rsidTr="00063001">
        <w:trPr>
          <w:trHeight w:val="290"/>
        </w:trPr>
        <w:tc>
          <w:tcPr>
            <w:tcW w:w="709" w:type="dxa"/>
          </w:tcPr>
          <w:p w:rsidR="00A35860" w:rsidRPr="008F6C2A" w:rsidRDefault="00A35860" w:rsidP="00063001">
            <w:pPr>
              <w:jc w:val="both"/>
              <w:rPr>
                <w:sz w:val="20"/>
                <w:szCs w:val="20"/>
              </w:rPr>
            </w:pPr>
          </w:p>
        </w:tc>
        <w:tc>
          <w:tcPr>
            <w:tcW w:w="1134" w:type="dxa"/>
          </w:tcPr>
          <w:p w:rsidR="00A35860" w:rsidRPr="008F6C2A" w:rsidRDefault="00A35860" w:rsidP="00063001">
            <w:pPr>
              <w:jc w:val="both"/>
              <w:rPr>
                <w:sz w:val="20"/>
                <w:szCs w:val="20"/>
              </w:rPr>
            </w:pPr>
            <w:r w:rsidRPr="008F6C2A">
              <w:rPr>
                <w:sz w:val="20"/>
                <w:szCs w:val="20"/>
              </w:rPr>
              <w:t xml:space="preserve">CMI </w:t>
            </w:r>
          </w:p>
        </w:tc>
        <w:tc>
          <w:tcPr>
            <w:tcW w:w="7229" w:type="dxa"/>
          </w:tcPr>
          <w:p w:rsidR="00A35860" w:rsidRPr="008F6C2A" w:rsidRDefault="00A35860" w:rsidP="00063001">
            <w:pPr>
              <w:jc w:val="both"/>
              <w:rPr>
                <w:sz w:val="20"/>
                <w:szCs w:val="20"/>
              </w:rPr>
            </w:pPr>
            <w:r w:rsidRPr="008F6C2A">
              <w:rPr>
                <w:sz w:val="20"/>
                <w:szCs w:val="20"/>
              </w:rPr>
              <w:t xml:space="preserve">Carte mobilité inclusion </w:t>
            </w:r>
          </w:p>
        </w:tc>
      </w:tr>
      <w:tr w:rsidR="00104F31" w:rsidRPr="008F6C2A" w:rsidTr="00063001">
        <w:trPr>
          <w:trHeight w:val="290"/>
        </w:trPr>
        <w:tc>
          <w:tcPr>
            <w:tcW w:w="709" w:type="dxa"/>
          </w:tcPr>
          <w:p w:rsidR="00104F31" w:rsidRPr="008F6C2A" w:rsidRDefault="00104F31" w:rsidP="00063001">
            <w:pPr>
              <w:jc w:val="both"/>
              <w:rPr>
                <w:sz w:val="20"/>
                <w:szCs w:val="20"/>
              </w:rPr>
            </w:pPr>
          </w:p>
        </w:tc>
        <w:tc>
          <w:tcPr>
            <w:tcW w:w="1134" w:type="dxa"/>
          </w:tcPr>
          <w:p w:rsidR="00104F31" w:rsidRDefault="00104F31" w:rsidP="00063001">
            <w:pPr>
              <w:jc w:val="both"/>
              <w:rPr>
                <w:sz w:val="20"/>
                <w:szCs w:val="20"/>
              </w:rPr>
            </w:pPr>
            <w:r>
              <w:rPr>
                <w:sz w:val="20"/>
                <w:szCs w:val="20"/>
              </w:rPr>
              <w:t>CMU-C</w:t>
            </w:r>
          </w:p>
        </w:tc>
        <w:tc>
          <w:tcPr>
            <w:tcW w:w="7229" w:type="dxa"/>
          </w:tcPr>
          <w:p w:rsidR="00104F31" w:rsidRDefault="00104F31" w:rsidP="00063001">
            <w:pPr>
              <w:jc w:val="both"/>
              <w:rPr>
                <w:sz w:val="20"/>
                <w:szCs w:val="20"/>
              </w:rPr>
            </w:pPr>
            <w:r>
              <w:rPr>
                <w:sz w:val="20"/>
                <w:szCs w:val="20"/>
              </w:rPr>
              <w:t xml:space="preserve">Couverture maladie universelle complémentaire </w:t>
            </w:r>
          </w:p>
        </w:tc>
      </w:tr>
      <w:tr w:rsidR="00104F31" w:rsidRPr="008F6C2A" w:rsidTr="00063001">
        <w:trPr>
          <w:trHeight w:val="290"/>
        </w:trPr>
        <w:tc>
          <w:tcPr>
            <w:tcW w:w="709" w:type="dxa"/>
          </w:tcPr>
          <w:p w:rsidR="00104F31" w:rsidRPr="008F6C2A" w:rsidRDefault="00104F31" w:rsidP="00063001">
            <w:pPr>
              <w:jc w:val="both"/>
              <w:rPr>
                <w:sz w:val="20"/>
                <w:szCs w:val="20"/>
              </w:rPr>
            </w:pPr>
          </w:p>
        </w:tc>
        <w:tc>
          <w:tcPr>
            <w:tcW w:w="1134" w:type="dxa"/>
          </w:tcPr>
          <w:p w:rsidR="00104F31" w:rsidRPr="008F6C2A" w:rsidRDefault="00104F31" w:rsidP="00063001">
            <w:pPr>
              <w:jc w:val="both"/>
              <w:rPr>
                <w:sz w:val="20"/>
                <w:szCs w:val="20"/>
              </w:rPr>
            </w:pPr>
            <w:r>
              <w:rPr>
                <w:sz w:val="20"/>
                <w:szCs w:val="20"/>
              </w:rPr>
              <w:t>CNAM</w:t>
            </w:r>
          </w:p>
        </w:tc>
        <w:tc>
          <w:tcPr>
            <w:tcW w:w="7229" w:type="dxa"/>
          </w:tcPr>
          <w:p w:rsidR="00104F31" w:rsidRPr="008F6C2A" w:rsidRDefault="00104F31" w:rsidP="00063001">
            <w:pPr>
              <w:jc w:val="both"/>
              <w:rPr>
                <w:sz w:val="20"/>
                <w:szCs w:val="20"/>
              </w:rPr>
            </w:pPr>
            <w:r>
              <w:rPr>
                <w:sz w:val="20"/>
                <w:szCs w:val="20"/>
              </w:rPr>
              <w:t xml:space="preserve">Caisse nationale d’assurance maladie </w:t>
            </w:r>
          </w:p>
        </w:tc>
      </w:tr>
      <w:tr w:rsidR="00A35860" w:rsidRPr="008F6C2A" w:rsidTr="00063001">
        <w:trPr>
          <w:trHeight w:val="290"/>
        </w:trPr>
        <w:tc>
          <w:tcPr>
            <w:tcW w:w="709" w:type="dxa"/>
          </w:tcPr>
          <w:p w:rsidR="00A35860" w:rsidRPr="008F6C2A" w:rsidRDefault="00A35860" w:rsidP="00063001">
            <w:pPr>
              <w:jc w:val="both"/>
              <w:rPr>
                <w:sz w:val="20"/>
                <w:szCs w:val="20"/>
              </w:rPr>
            </w:pPr>
          </w:p>
        </w:tc>
        <w:tc>
          <w:tcPr>
            <w:tcW w:w="1134" w:type="dxa"/>
          </w:tcPr>
          <w:p w:rsidR="00A35860" w:rsidRPr="008F6C2A" w:rsidRDefault="00A35860" w:rsidP="00063001">
            <w:pPr>
              <w:jc w:val="both"/>
              <w:rPr>
                <w:sz w:val="20"/>
                <w:szCs w:val="20"/>
              </w:rPr>
            </w:pPr>
            <w:r w:rsidRPr="008F6C2A">
              <w:rPr>
                <w:sz w:val="20"/>
                <w:szCs w:val="20"/>
              </w:rPr>
              <w:t>CNCDH</w:t>
            </w:r>
          </w:p>
        </w:tc>
        <w:tc>
          <w:tcPr>
            <w:tcW w:w="7229" w:type="dxa"/>
          </w:tcPr>
          <w:p w:rsidR="00A35860" w:rsidRPr="008F6C2A" w:rsidRDefault="00A35860" w:rsidP="00063001">
            <w:pPr>
              <w:jc w:val="both"/>
              <w:rPr>
                <w:sz w:val="20"/>
                <w:szCs w:val="20"/>
              </w:rPr>
            </w:pPr>
            <w:r w:rsidRPr="008F6C2A">
              <w:rPr>
                <w:sz w:val="20"/>
                <w:szCs w:val="20"/>
              </w:rPr>
              <w:t>Commission nationale consultative des droits de l’homme</w:t>
            </w:r>
          </w:p>
        </w:tc>
      </w:tr>
      <w:tr w:rsidR="00A35860" w:rsidRPr="008F6C2A" w:rsidTr="00063001">
        <w:trPr>
          <w:trHeight w:val="290"/>
        </w:trPr>
        <w:tc>
          <w:tcPr>
            <w:tcW w:w="709" w:type="dxa"/>
          </w:tcPr>
          <w:p w:rsidR="00A35860" w:rsidRPr="008F6C2A" w:rsidRDefault="00A35860" w:rsidP="00063001">
            <w:pPr>
              <w:jc w:val="both"/>
              <w:rPr>
                <w:sz w:val="20"/>
                <w:szCs w:val="20"/>
              </w:rPr>
            </w:pPr>
          </w:p>
        </w:tc>
        <w:tc>
          <w:tcPr>
            <w:tcW w:w="1134" w:type="dxa"/>
          </w:tcPr>
          <w:p w:rsidR="00A35860" w:rsidRPr="008F6C2A" w:rsidRDefault="00A35860" w:rsidP="00063001">
            <w:pPr>
              <w:jc w:val="both"/>
              <w:rPr>
                <w:sz w:val="20"/>
                <w:szCs w:val="20"/>
              </w:rPr>
            </w:pPr>
            <w:r w:rsidRPr="008F6C2A">
              <w:rPr>
                <w:sz w:val="20"/>
                <w:szCs w:val="20"/>
              </w:rPr>
              <w:t xml:space="preserve">CNCPH </w:t>
            </w:r>
          </w:p>
        </w:tc>
        <w:tc>
          <w:tcPr>
            <w:tcW w:w="7229" w:type="dxa"/>
          </w:tcPr>
          <w:p w:rsidR="00A35860" w:rsidRPr="008F6C2A" w:rsidRDefault="00A35860" w:rsidP="00063001">
            <w:pPr>
              <w:jc w:val="both"/>
              <w:rPr>
                <w:sz w:val="20"/>
                <w:szCs w:val="20"/>
              </w:rPr>
            </w:pPr>
            <w:r w:rsidRPr="008F6C2A">
              <w:rPr>
                <w:sz w:val="20"/>
                <w:szCs w:val="20"/>
              </w:rPr>
              <w:t xml:space="preserve">Conseil national consultatif des personnes handicapées </w:t>
            </w:r>
          </w:p>
        </w:tc>
      </w:tr>
      <w:tr w:rsidR="00A35860" w:rsidRPr="008F6C2A" w:rsidTr="00063001">
        <w:trPr>
          <w:trHeight w:val="290"/>
        </w:trPr>
        <w:tc>
          <w:tcPr>
            <w:tcW w:w="709" w:type="dxa"/>
          </w:tcPr>
          <w:p w:rsidR="00A35860" w:rsidRPr="008F6C2A" w:rsidRDefault="00A35860" w:rsidP="00063001">
            <w:pPr>
              <w:jc w:val="both"/>
              <w:rPr>
                <w:sz w:val="20"/>
                <w:szCs w:val="20"/>
              </w:rPr>
            </w:pPr>
          </w:p>
        </w:tc>
        <w:tc>
          <w:tcPr>
            <w:tcW w:w="1134" w:type="dxa"/>
          </w:tcPr>
          <w:p w:rsidR="00A35860" w:rsidRPr="008F6C2A" w:rsidRDefault="00A35860" w:rsidP="00063001">
            <w:pPr>
              <w:jc w:val="both"/>
              <w:rPr>
                <w:sz w:val="20"/>
                <w:szCs w:val="20"/>
              </w:rPr>
            </w:pPr>
            <w:r w:rsidRPr="008F6C2A">
              <w:rPr>
                <w:sz w:val="20"/>
                <w:szCs w:val="20"/>
              </w:rPr>
              <w:t xml:space="preserve">CNIL </w:t>
            </w:r>
          </w:p>
        </w:tc>
        <w:tc>
          <w:tcPr>
            <w:tcW w:w="7229" w:type="dxa"/>
          </w:tcPr>
          <w:p w:rsidR="00A35860" w:rsidRPr="008F6C2A" w:rsidRDefault="00A35860" w:rsidP="00063001">
            <w:pPr>
              <w:jc w:val="both"/>
              <w:rPr>
                <w:sz w:val="20"/>
                <w:szCs w:val="20"/>
              </w:rPr>
            </w:pPr>
            <w:r w:rsidRPr="008F6C2A">
              <w:rPr>
                <w:sz w:val="20"/>
                <w:szCs w:val="20"/>
              </w:rPr>
              <w:t xml:space="preserve">Commission nationale de l’informatique et des libertés </w:t>
            </w:r>
          </w:p>
        </w:tc>
      </w:tr>
      <w:tr w:rsidR="00A35860" w:rsidRPr="008F6C2A" w:rsidTr="00063001">
        <w:trPr>
          <w:trHeight w:val="290"/>
        </w:trPr>
        <w:tc>
          <w:tcPr>
            <w:tcW w:w="709" w:type="dxa"/>
          </w:tcPr>
          <w:p w:rsidR="00A35860" w:rsidRPr="008F6C2A" w:rsidRDefault="00A35860" w:rsidP="00063001">
            <w:pPr>
              <w:jc w:val="both"/>
              <w:rPr>
                <w:sz w:val="20"/>
                <w:szCs w:val="20"/>
              </w:rPr>
            </w:pPr>
          </w:p>
        </w:tc>
        <w:tc>
          <w:tcPr>
            <w:tcW w:w="1134" w:type="dxa"/>
          </w:tcPr>
          <w:p w:rsidR="00A35860" w:rsidRPr="008F6C2A" w:rsidRDefault="00A35860" w:rsidP="00063001">
            <w:pPr>
              <w:jc w:val="both"/>
              <w:rPr>
                <w:sz w:val="20"/>
                <w:szCs w:val="20"/>
              </w:rPr>
            </w:pPr>
            <w:r w:rsidRPr="008F6C2A">
              <w:rPr>
                <w:sz w:val="20"/>
                <w:szCs w:val="20"/>
              </w:rPr>
              <w:t>CNIS</w:t>
            </w:r>
          </w:p>
        </w:tc>
        <w:tc>
          <w:tcPr>
            <w:tcW w:w="7229" w:type="dxa"/>
          </w:tcPr>
          <w:p w:rsidR="00A35860" w:rsidRPr="008F6C2A" w:rsidRDefault="00A35860" w:rsidP="00063001">
            <w:pPr>
              <w:jc w:val="both"/>
              <w:rPr>
                <w:sz w:val="20"/>
                <w:szCs w:val="20"/>
              </w:rPr>
            </w:pPr>
            <w:r w:rsidRPr="008F6C2A">
              <w:rPr>
                <w:sz w:val="20"/>
                <w:szCs w:val="20"/>
              </w:rPr>
              <w:t>Conseil National de l'Information Statistique</w:t>
            </w:r>
          </w:p>
        </w:tc>
      </w:tr>
      <w:tr w:rsidR="00A35860" w:rsidRPr="008F6C2A" w:rsidTr="00063001">
        <w:trPr>
          <w:trHeight w:val="290"/>
        </w:trPr>
        <w:tc>
          <w:tcPr>
            <w:tcW w:w="709" w:type="dxa"/>
          </w:tcPr>
          <w:p w:rsidR="00A35860" w:rsidRPr="008F6C2A" w:rsidRDefault="00A35860" w:rsidP="00063001">
            <w:pPr>
              <w:jc w:val="both"/>
              <w:rPr>
                <w:sz w:val="20"/>
                <w:szCs w:val="20"/>
              </w:rPr>
            </w:pPr>
          </w:p>
        </w:tc>
        <w:tc>
          <w:tcPr>
            <w:tcW w:w="1134" w:type="dxa"/>
          </w:tcPr>
          <w:p w:rsidR="00A35860" w:rsidRPr="008F6C2A" w:rsidRDefault="00A35860" w:rsidP="00063001">
            <w:pPr>
              <w:jc w:val="both"/>
              <w:rPr>
                <w:sz w:val="20"/>
                <w:szCs w:val="20"/>
              </w:rPr>
            </w:pPr>
            <w:r w:rsidRPr="008F6C2A">
              <w:rPr>
                <w:sz w:val="20"/>
                <w:szCs w:val="20"/>
              </w:rPr>
              <w:t>CSA</w:t>
            </w:r>
          </w:p>
        </w:tc>
        <w:tc>
          <w:tcPr>
            <w:tcW w:w="7229" w:type="dxa"/>
          </w:tcPr>
          <w:p w:rsidR="00A35860" w:rsidRPr="008F6C2A" w:rsidRDefault="00A35860" w:rsidP="00063001">
            <w:pPr>
              <w:jc w:val="both"/>
              <w:rPr>
                <w:sz w:val="20"/>
                <w:szCs w:val="20"/>
              </w:rPr>
            </w:pPr>
            <w:r w:rsidRPr="008F6C2A">
              <w:rPr>
                <w:sz w:val="20"/>
                <w:szCs w:val="20"/>
              </w:rPr>
              <w:t xml:space="preserve">Conseil supérieur de l’audiovisuel </w:t>
            </w:r>
          </w:p>
        </w:tc>
      </w:tr>
      <w:tr w:rsidR="00A35860" w:rsidRPr="002A6084" w:rsidTr="00063001">
        <w:trPr>
          <w:trHeight w:val="290"/>
        </w:trPr>
        <w:tc>
          <w:tcPr>
            <w:tcW w:w="709" w:type="dxa"/>
            <w:shd w:val="clear" w:color="auto" w:fill="DEEAF6" w:themeFill="accent1" w:themeFillTint="33"/>
          </w:tcPr>
          <w:p w:rsidR="00A35860" w:rsidRPr="002A6084" w:rsidRDefault="00A35860" w:rsidP="005C7697">
            <w:pPr>
              <w:pStyle w:val="Heading7"/>
              <w:spacing w:before="20" w:after="20" w:line="259" w:lineRule="auto"/>
              <w:outlineLvl w:val="6"/>
              <w:rPr>
                <w:b/>
                <w:sz w:val="22"/>
              </w:rPr>
            </w:pPr>
            <w:r w:rsidRPr="002A6084">
              <w:rPr>
                <w:b/>
                <w:sz w:val="22"/>
              </w:rPr>
              <w:t>E</w:t>
            </w:r>
          </w:p>
        </w:tc>
        <w:tc>
          <w:tcPr>
            <w:tcW w:w="8363" w:type="dxa"/>
            <w:gridSpan w:val="2"/>
            <w:shd w:val="clear" w:color="auto" w:fill="DEEAF6" w:themeFill="accent1" w:themeFillTint="33"/>
          </w:tcPr>
          <w:p w:rsidR="00A35860" w:rsidRPr="002A6084" w:rsidRDefault="00A35860" w:rsidP="005C7697">
            <w:pPr>
              <w:pStyle w:val="Heading7"/>
              <w:spacing w:before="20" w:after="20" w:line="259" w:lineRule="auto"/>
              <w:outlineLvl w:val="6"/>
              <w:rPr>
                <w:b/>
                <w:sz w:val="22"/>
              </w:rPr>
            </w:pPr>
          </w:p>
        </w:tc>
      </w:tr>
      <w:tr w:rsidR="00A35860" w:rsidRPr="008F6C2A" w:rsidTr="00063001">
        <w:trPr>
          <w:trHeight w:val="290"/>
        </w:trPr>
        <w:tc>
          <w:tcPr>
            <w:tcW w:w="709" w:type="dxa"/>
          </w:tcPr>
          <w:p w:rsidR="00A35860" w:rsidRPr="008F6C2A" w:rsidRDefault="00A35860" w:rsidP="00063001">
            <w:pPr>
              <w:jc w:val="both"/>
              <w:rPr>
                <w:sz w:val="20"/>
                <w:szCs w:val="20"/>
              </w:rPr>
            </w:pPr>
          </w:p>
        </w:tc>
        <w:tc>
          <w:tcPr>
            <w:tcW w:w="1134" w:type="dxa"/>
          </w:tcPr>
          <w:p w:rsidR="00A35860" w:rsidRPr="008F6C2A" w:rsidRDefault="00A35860" w:rsidP="00063001">
            <w:pPr>
              <w:jc w:val="both"/>
              <w:rPr>
                <w:sz w:val="20"/>
                <w:szCs w:val="20"/>
              </w:rPr>
            </w:pPr>
            <w:r w:rsidRPr="008F6C2A">
              <w:rPr>
                <w:sz w:val="20"/>
                <w:szCs w:val="20"/>
              </w:rPr>
              <w:t xml:space="preserve">ERP </w:t>
            </w:r>
          </w:p>
        </w:tc>
        <w:tc>
          <w:tcPr>
            <w:tcW w:w="7229" w:type="dxa"/>
          </w:tcPr>
          <w:p w:rsidR="00A35860" w:rsidRPr="008F6C2A" w:rsidRDefault="00A35860" w:rsidP="00063001">
            <w:pPr>
              <w:jc w:val="both"/>
              <w:rPr>
                <w:sz w:val="20"/>
                <w:szCs w:val="20"/>
              </w:rPr>
            </w:pPr>
            <w:r w:rsidRPr="008F6C2A">
              <w:rPr>
                <w:sz w:val="20"/>
                <w:szCs w:val="20"/>
              </w:rPr>
              <w:t xml:space="preserve">Etablissements recevant du public </w:t>
            </w:r>
          </w:p>
        </w:tc>
      </w:tr>
      <w:tr w:rsidR="00A35860" w:rsidRPr="008F6C2A" w:rsidTr="00063001">
        <w:trPr>
          <w:trHeight w:val="290"/>
        </w:trPr>
        <w:tc>
          <w:tcPr>
            <w:tcW w:w="709" w:type="dxa"/>
          </w:tcPr>
          <w:p w:rsidR="00A35860" w:rsidRPr="008F6C2A" w:rsidRDefault="00A35860" w:rsidP="00063001">
            <w:pPr>
              <w:jc w:val="both"/>
              <w:rPr>
                <w:sz w:val="20"/>
                <w:szCs w:val="20"/>
              </w:rPr>
            </w:pPr>
          </w:p>
        </w:tc>
        <w:tc>
          <w:tcPr>
            <w:tcW w:w="1134" w:type="dxa"/>
          </w:tcPr>
          <w:p w:rsidR="00A35860" w:rsidRPr="008F6C2A" w:rsidRDefault="00A35860" w:rsidP="00063001">
            <w:pPr>
              <w:jc w:val="both"/>
              <w:rPr>
                <w:sz w:val="20"/>
                <w:szCs w:val="20"/>
              </w:rPr>
            </w:pPr>
            <w:r w:rsidRPr="008F6C2A">
              <w:rPr>
                <w:sz w:val="20"/>
                <w:szCs w:val="20"/>
              </w:rPr>
              <w:t>ESAT</w:t>
            </w:r>
          </w:p>
        </w:tc>
        <w:tc>
          <w:tcPr>
            <w:tcW w:w="7229" w:type="dxa"/>
          </w:tcPr>
          <w:p w:rsidR="00A35860" w:rsidRPr="008F6C2A" w:rsidRDefault="00A35860" w:rsidP="00063001">
            <w:pPr>
              <w:jc w:val="both"/>
              <w:rPr>
                <w:sz w:val="20"/>
                <w:szCs w:val="20"/>
              </w:rPr>
            </w:pPr>
            <w:r w:rsidRPr="00654B03">
              <w:rPr>
                <w:sz w:val="20"/>
                <w:szCs w:val="20"/>
              </w:rPr>
              <w:t>Etablissements</w:t>
            </w:r>
            <w:r w:rsidRPr="008F6C2A">
              <w:rPr>
                <w:sz w:val="20"/>
                <w:szCs w:val="20"/>
              </w:rPr>
              <w:t xml:space="preserve"> et services d’aide par le travail  </w:t>
            </w:r>
          </w:p>
        </w:tc>
      </w:tr>
      <w:tr w:rsidR="00654B03" w:rsidRPr="008F6C2A" w:rsidTr="00063001">
        <w:trPr>
          <w:trHeight w:val="290"/>
        </w:trPr>
        <w:tc>
          <w:tcPr>
            <w:tcW w:w="709" w:type="dxa"/>
          </w:tcPr>
          <w:p w:rsidR="00654B03" w:rsidRPr="008F6C2A" w:rsidRDefault="00654B03" w:rsidP="00063001">
            <w:pPr>
              <w:jc w:val="both"/>
              <w:rPr>
                <w:sz w:val="20"/>
                <w:szCs w:val="20"/>
              </w:rPr>
            </w:pPr>
          </w:p>
        </w:tc>
        <w:tc>
          <w:tcPr>
            <w:tcW w:w="1134" w:type="dxa"/>
          </w:tcPr>
          <w:p w:rsidR="00654B03" w:rsidRPr="008F6C2A" w:rsidRDefault="00654B03" w:rsidP="00063001">
            <w:pPr>
              <w:jc w:val="both"/>
              <w:rPr>
                <w:sz w:val="20"/>
                <w:szCs w:val="20"/>
              </w:rPr>
            </w:pPr>
            <w:r>
              <w:rPr>
                <w:sz w:val="20"/>
                <w:szCs w:val="20"/>
              </w:rPr>
              <w:t>ESMS</w:t>
            </w:r>
          </w:p>
        </w:tc>
        <w:tc>
          <w:tcPr>
            <w:tcW w:w="7229" w:type="dxa"/>
          </w:tcPr>
          <w:p w:rsidR="00654B03" w:rsidRPr="00654B03" w:rsidRDefault="00654B03" w:rsidP="00654B03">
            <w:pPr>
              <w:jc w:val="both"/>
              <w:rPr>
                <w:sz w:val="20"/>
                <w:szCs w:val="20"/>
              </w:rPr>
            </w:pPr>
            <w:r w:rsidRPr="00654B03">
              <w:rPr>
                <w:sz w:val="20"/>
                <w:szCs w:val="20"/>
              </w:rPr>
              <w:t>Etablissements et services sociaux et médico-sociaux</w:t>
            </w:r>
            <w:r>
              <w:rPr>
                <w:sz w:val="20"/>
                <w:szCs w:val="20"/>
              </w:rPr>
              <w:t xml:space="preserve"> </w:t>
            </w:r>
          </w:p>
        </w:tc>
      </w:tr>
      <w:tr w:rsidR="00A35860" w:rsidRPr="008F6C2A" w:rsidTr="00063001">
        <w:trPr>
          <w:trHeight w:val="290"/>
        </w:trPr>
        <w:tc>
          <w:tcPr>
            <w:tcW w:w="709" w:type="dxa"/>
          </w:tcPr>
          <w:p w:rsidR="00A35860" w:rsidRPr="008F6C2A" w:rsidRDefault="00A35860" w:rsidP="00063001">
            <w:pPr>
              <w:jc w:val="both"/>
              <w:rPr>
                <w:sz w:val="20"/>
                <w:szCs w:val="20"/>
              </w:rPr>
            </w:pPr>
          </w:p>
        </w:tc>
        <w:tc>
          <w:tcPr>
            <w:tcW w:w="1134" w:type="dxa"/>
          </w:tcPr>
          <w:p w:rsidR="00A35860" w:rsidRPr="008F6C2A" w:rsidRDefault="00A35860" w:rsidP="00063001">
            <w:pPr>
              <w:jc w:val="both"/>
              <w:rPr>
                <w:sz w:val="20"/>
                <w:szCs w:val="20"/>
              </w:rPr>
            </w:pPr>
            <w:r w:rsidRPr="008F6C2A">
              <w:rPr>
                <w:sz w:val="20"/>
                <w:szCs w:val="20"/>
              </w:rPr>
              <w:t>ESPE</w:t>
            </w:r>
          </w:p>
        </w:tc>
        <w:tc>
          <w:tcPr>
            <w:tcW w:w="7229" w:type="dxa"/>
          </w:tcPr>
          <w:p w:rsidR="00A35860" w:rsidRPr="008F6C2A" w:rsidRDefault="00A35860" w:rsidP="00063001">
            <w:pPr>
              <w:jc w:val="both"/>
              <w:rPr>
                <w:sz w:val="20"/>
                <w:szCs w:val="20"/>
              </w:rPr>
            </w:pPr>
            <w:r w:rsidRPr="008F6C2A">
              <w:rPr>
                <w:sz w:val="20"/>
                <w:szCs w:val="20"/>
              </w:rPr>
              <w:t>Écoles supérieures du professorat et de l’éducation</w:t>
            </w:r>
          </w:p>
        </w:tc>
      </w:tr>
      <w:tr w:rsidR="00A35860" w:rsidRPr="002A6084" w:rsidTr="00063001">
        <w:trPr>
          <w:trHeight w:val="290"/>
        </w:trPr>
        <w:tc>
          <w:tcPr>
            <w:tcW w:w="709" w:type="dxa"/>
            <w:shd w:val="clear" w:color="auto" w:fill="DEEAF6" w:themeFill="accent1" w:themeFillTint="33"/>
          </w:tcPr>
          <w:p w:rsidR="00A35860" w:rsidRPr="002A6084" w:rsidRDefault="00A35860" w:rsidP="005C7697">
            <w:pPr>
              <w:pStyle w:val="Heading7"/>
              <w:spacing w:before="20" w:after="20" w:line="259" w:lineRule="auto"/>
              <w:outlineLvl w:val="6"/>
              <w:rPr>
                <w:b/>
                <w:sz w:val="22"/>
              </w:rPr>
            </w:pPr>
            <w:r w:rsidRPr="002A6084">
              <w:rPr>
                <w:b/>
                <w:sz w:val="22"/>
              </w:rPr>
              <w:t>F</w:t>
            </w:r>
          </w:p>
        </w:tc>
        <w:tc>
          <w:tcPr>
            <w:tcW w:w="8363" w:type="dxa"/>
            <w:gridSpan w:val="2"/>
            <w:shd w:val="clear" w:color="auto" w:fill="DEEAF6" w:themeFill="accent1" w:themeFillTint="33"/>
          </w:tcPr>
          <w:p w:rsidR="00A35860" w:rsidRPr="002A6084" w:rsidRDefault="00A35860" w:rsidP="005C7697">
            <w:pPr>
              <w:pStyle w:val="Heading7"/>
              <w:spacing w:before="20" w:after="20" w:line="259" w:lineRule="auto"/>
              <w:outlineLvl w:val="6"/>
              <w:rPr>
                <w:b/>
                <w:sz w:val="22"/>
              </w:rPr>
            </w:pPr>
          </w:p>
        </w:tc>
      </w:tr>
      <w:tr w:rsidR="00A35860" w:rsidRPr="008F6C2A" w:rsidTr="00063001">
        <w:trPr>
          <w:trHeight w:val="290"/>
        </w:trPr>
        <w:tc>
          <w:tcPr>
            <w:tcW w:w="709" w:type="dxa"/>
          </w:tcPr>
          <w:p w:rsidR="00A35860" w:rsidRPr="008F6C2A" w:rsidRDefault="00A35860" w:rsidP="00063001">
            <w:pPr>
              <w:jc w:val="both"/>
              <w:rPr>
                <w:sz w:val="20"/>
                <w:szCs w:val="20"/>
              </w:rPr>
            </w:pPr>
          </w:p>
        </w:tc>
        <w:tc>
          <w:tcPr>
            <w:tcW w:w="1134" w:type="dxa"/>
          </w:tcPr>
          <w:p w:rsidR="00A35860" w:rsidRPr="008F6C2A" w:rsidRDefault="00A35860" w:rsidP="00063001">
            <w:pPr>
              <w:jc w:val="both"/>
              <w:rPr>
                <w:sz w:val="20"/>
                <w:szCs w:val="20"/>
              </w:rPr>
            </w:pPr>
            <w:r w:rsidRPr="008F6C2A">
              <w:rPr>
                <w:sz w:val="20"/>
                <w:szCs w:val="20"/>
              </w:rPr>
              <w:t xml:space="preserve">FALC </w:t>
            </w:r>
          </w:p>
        </w:tc>
        <w:tc>
          <w:tcPr>
            <w:tcW w:w="7229" w:type="dxa"/>
          </w:tcPr>
          <w:p w:rsidR="00A35860" w:rsidRPr="008F6C2A" w:rsidRDefault="00A35860" w:rsidP="00063001">
            <w:pPr>
              <w:jc w:val="both"/>
              <w:rPr>
                <w:sz w:val="20"/>
                <w:szCs w:val="20"/>
              </w:rPr>
            </w:pPr>
            <w:r w:rsidRPr="008F6C2A">
              <w:rPr>
                <w:sz w:val="20"/>
                <w:szCs w:val="20"/>
              </w:rPr>
              <w:t xml:space="preserve">Facile à lire et à comprendre </w:t>
            </w:r>
          </w:p>
        </w:tc>
      </w:tr>
      <w:tr w:rsidR="00A35860" w:rsidRPr="002A6084" w:rsidTr="00063001">
        <w:trPr>
          <w:trHeight w:val="290"/>
        </w:trPr>
        <w:tc>
          <w:tcPr>
            <w:tcW w:w="709" w:type="dxa"/>
            <w:shd w:val="clear" w:color="auto" w:fill="DEEAF6" w:themeFill="accent1" w:themeFillTint="33"/>
          </w:tcPr>
          <w:p w:rsidR="00A35860" w:rsidRPr="002A6084" w:rsidRDefault="00A35860" w:rsidP="005C7697">
            <w:pPr>
              <w:pStyle w:val="Heading7"/>
              <w:spacing w:before="20" w:after="20" w:line="259" w:lineRule="auto"/>
              <w:outlineLvl w:val="6"/>
              <w:rPr>
                <w:b/>
                <w:sz w:val="22"/>
              </w:rPr>
            </w:pPr>
            <w:r w:rsidRPr="002A6084">
              <w:rPr>
                <w:b/>
                <w:sz w:val="22"/>
              </w:rPr>
              <w:t>I</w:t>
            </w:r>
          </w:p>
        </w:tc>
        <w:tc>
          <w:tcPr>
            <w:tcW w:w="8363" w:type="dxa"/>
            <w:gridSpan w:val="2"/>
            <w:shd w:val="clear" w:color="auto" w:fill="DEEAF6" w:themeFill="accent1" w:themeFillTint="33"/>
          </w:tcPr>
          <w:p w:rsidR="00A35860" w:rsidRPr="002A6084" w:rsidRDefault="00A35860" w:rsidP="005C7697">
            <w:pPr>
              <w:pStyle w:val="Heading7"/>
              <w:spacing w:before="20" w:after="20" w:line="259" w:lineRule="auto"/>
              <w:outlineLvl w:val="6"/>
              <w:rPr>
                <w:b/>
                <w:sz w:val="22"/>
              </w:rPr>
            </w:pPr>
          </w:p>
        </w:tc>
      </w:tr>
      <w:tr w:rsidR="00A35860" w:rsidRPr="008F6C2A" w:rsidTr="00063001">
        <w:trPr>
          <w:trHeight w:val="290"/>
        </w:trPr>
        <w:tc>
          <w:tcPr>
            <w:tcW w:w="709" w:type="dxa"/>
          </w:tcPr>
          <w:p w:rsidR="00A35860" w:rsidRPr="008F6C2A" w:rsidRDefault="00A35860" w:rsidP="00063001">
            <w:pPr>
              <w:jc w:val="both"/>
              <w:rPr>
                <w:sz w:val="20"/>
                <w:szCs w:val="20"/>
              </w:rPr>
            </w:pPr>
          </w:p>
        </w:tc>
        <w:tc>
          <w:tcPr>
            <w:tcW w:w="1134" w:type="dxa"/>
          </w:tcPr>
          <w:p w:rsidR="00A35860" w:rsidRPr="008F6C2A" w:rsidRDefault="00A35860" w:rsidP="00063001">
            <w:pPr>
              <w:jc w:val="both"/>
              <w:rPr>
                <w:sz w:val="20"/>
                <w:szCs w:val="20"/>
              </w:rPr>
            </w:pPr>
            <w:r w:rsidRPr="008F6C2A">
              <w:rPr>
                <w:sz w:val="20"/>
                <w:szCs w:val="20"/>
              </w:rPr>
              <w:t>IGAS</w:t>
            </w:r>
          </w:p>
        </w:tc>
        <w:tc>
          <w:tcPr>
            <w:tcW w:w="7229" w:type="dxa"/>
          </w:tcPr>
          <w:p w:rsidR="00A35860" w:rsidRPr="008F6C2A" w:rsidRDefault="00A35860" w:rsidP="00063001">
            <w:pPr>
              <w:jc w:val="both"/>
              <w:rPr>
                <w:sz w:val="20"/>
                <w:szCs w:val="20"/>
              </w:rPr>
            </w:pPr>
            <w:r w:rsidRPr="008F6C2A">
              <w:rPr>
                <w:sz w:val="20"/>
                <w:szCs w:val="20"/>
              </w:rPr>
              <w:t xml:space="preserve">Inspection générale des affaires sociales </w:t>
            </w:r>
          </w:p>
        </w:tc>
      </w:tr>
      <w:tr w:rsidR="00A35860" w:rsidRPr="008F6C2A" w:rsidTr="00063001">
        <w:trPr>
          <w:trHeight w:val="290"/>
        </w:trPr>
        <w:tc>
          <w:tcPr>
            <w:tcW w:w="709" w:type="dxa"/>
          </w:tcPr>
          <w:p w:rsidR="00A35860" w:rsidRPr="008F6C2A" w:rsidRDefault="00A35860" w:rsidP="00063001">
            <w:pPr>
              <w:jc w:val="both"/>
              <w:rPr>
                <w:sz w:val="20"/>
                <w:szCs w:val="20"/>
              </w:rPr>
            </w:pPr>
          </w:p>
        </w:tc>
        <w:tc>
          <w:tcPr>
            <w:tcW w:w="1134" w:type="dxa"/>
          </w:tcPr>
          <w:p w:rsidR="00A35860" w:rsidRPr="008F6C2A" w:rsidRDefault="00A35860" w:rsidP="00063001">
            <w:pPr>
              <w:jc w:val="both"/>
              <w:rPr>
                <w:sz w:val="20"/>
                <w:szCs w:val="20"/>
              </w:rPr>
            </w:pPr>
            <w:r w:rsidRPr="008F6C2A">
              <w:rPr>
                <w:sz w:val="20"/>
                <w:szCs w:val="20"/>
              </w:rPr>
              <w:t>INSEE</w:t>
            </w:r>
          </w:p>
        </w:tc>
        <w:tc>
          <w:tcPr>
            <w:tcW w:w="7229" w:type="dxa"/>
          </w:tcPr>
          <w:p w:rsidR="00A35860" w:rsidRPr="008F6C2A" w:rsidRDefault="00A35860" w:rsidP="00063001">
            <w:pPr>
              <w:jc w:val="both"/>
              <w:rPr>
                <w:sz w:val="20"/>
                <w:szCs w:val="20"/>
              </w:rPr>
            </w:pPr>
            <w:r w:rsidRPr="008F6C2A">
              <w:rPr>
                <w:sz w:val="20"/>
                <w:szCs w:val="20"/>
              </w:rPr>
              <w:t>Institut national de la statistique et des études économiques</w:t>
            </w:r>
          </w:p>
        </w:tc>
      </w:tr>
      <w:tr w:rsidR="008F6C2A" w:rsidRPr="008F6C2A" w:rsidTr="00063001">
        <w:trPr>
          <w:trHeight w:val="290"/>
        </w:trPr>
        <w:tc>
          <w:tcPr>
            <w:tcW w:w="709" w:type="dxa"/>
          </w:tcPr>
          <w:p w:rsidR="008F6C2A" w:rsidRPr="008F6C2A" w:rsidRDefault="008F6C2A" w:rsidP="00063001">
            <w:pPr>
              <w:jc w:val="both"/>
              <w:rPr>
                <w:sz w:val="20"/>
                <w:szCs w:val="20"/>
              </w:rPr>
            </w:pPr>
          </w:p>
        </w:tc>
        <w:tc>
          <w:tcPr>
            <w:tcW w:w="1134" w:type="dxa"/>
          </w:tcPr>
          <w:p w:rsidR="008F6C2A" w:rsidRPr="008F6C2A" w:rsidRDefault="008F6C2A" w:rsidP="00063001">
            <w:pPr>
              <w:jc w:val="both"/>
              <w:rPr>
                <w:sz w:val="20"/>
                <w:szCs w:val="20"/>
              </w:rPr>
            </w:pPr>
            <w:r w:rsidRPr="008F6C2A">
              <w:rPr>
                <w:sz w:val="20"/>
                <w:szCs w:val="20"/>
              </w:rPr>
              <w:t xml:space="preserve">IME </w:t>
            </w:r>
          </w:p>
        </w:tc>
        <w:tc>
          <w:tcPr>
            <w:tcW w:w="7229" w:type="dxa"/>
          </w:tcPr>
          <w:p w:rsidR="008F6C2A" w:rsidRPr="008F6C2A" w:rsidRDefault="008F6C2A" w:rsidP="00063001">
            <w:pPr>
              <w:jc w:val="both"/>
              <w:rPr>
                <w:sz w:val="20"/>
                <w:szCs w:val="20"/>
              </w:rPr>
            </w:pPr>
            <w:r w:rsidRPr="008F6C2A">
              <w:rPr>
                <w:sz w:val="20"/>
                <w:szCs w:val="20"/>
              </w:rPr>
              <w:t>Institut médico-éducatif</w:t>
            </w:r>
          </w:p>
        </w:tc>
      </w:tr>
      <w:tr w:rsidR="008F6C2A" w:rsidRPr="008F6C2A" w:rsidTr="00063001">
        <w:trPr>
          <w:trHeight w:val="290"/>
        </w:trPr>
        <w:tc>
          <w:tcPr>
            <w:tcW w:w="709" w:type="dxa"/>
          </w:tcPr>
          <w:p w:rsidR="008F6C2A" w:rsidRPr="008F6C2A" w:rsidRDefault="008F6C2A" w:rsidP="00063001">
            <w:pPr>
              <w:jc w:val="both"/>
              <w:rPr>
                <w:sz w:val="20"/>
                <w:szCs w:val="20"/>
              </w:rPr>
            </w:pPr>
          </w:p>
        </w:tc>
        <w:tc>
          <w:tcPr>
            <w:tcW w:w="1134" w:type="dxa"/>
          </w:tcPr>
          <w:p w:rsidR="008F6C2A" w:rsidRPr="008F6C2A" w:rsidRDefault="008F6C2A" w:rsidP="00063001">
            <w:pPr>
              <w:jc w:val="both"/>
              <w:rPr>
                <w:sz w:val="20"/>
                <w:szCs w:val="20"/>
              </w:rPr>
            </w:pPr>
            <w:r w:rsidRPr="008F6C2A">
              <w:rPr>
                <w:sz w:val="20"/>
                <w:szCs w:val="20"/>
              </w:rPr>
              <w:t>IVG</w:t>
            </w:r>
          </w:p>
        </w:tc>
        <w:tc>
          <w:tcPr>
            <w:tcW w:w="7229" w:type="dxa"/>
          </w:tcPr>
          <w:p w:rsidR="008F6C2A" w:rsidRPr="008F6C2A" w:rsidRDefault="008F6C2A" w:rsidP="00063001">
            <w:pPr>
              <w:jc w:val="both"/>
              <w:rPr>
                <w:sz w:val="20"/>
                <w:szCs w:val="20"/>
              </w:rPr>
            </w:pPr>
            <w:r w:rsidRPr="008F6C2A">
              <w:rPr>
                <w:sz w:val="20"/>
                <w:szCs w:val="20"/>
              </w:rPr>
              <w:t xml:space="preserve">Interruption volontaire de grossesse </w:t>
            </w:r>
          </w:p>
        </w:tc>
      </w:tr>
      <w:tr w:rsidR="00A35860" w:rsidRPr="002A6084" w:rsidTr="00063001">
        <w:trPr>
          <w:trHeight w:val="290"/>
        </w:trPr>
        <w:tc>
          <w:tcPr>
            <w:tcW w:w="709" w:type="dxa"/>
            <w:shd w:val="clear" w:color="auto" w:fill="DEEAF6" w:themeFill="accent1" w:themeFillTint="33"/>
          </w:tcPr>
          <w:p w:rsidR="00A35860" w:rsidRPr="002A6084" w:rsidRDefault="00A35860" w:rsidP="005C7697">
            <w:pPr>
              <w:pStyle w:val="Heading7"/>
              <w:spacing w:before="20" w:after="20" w:line="259" w:lineRule="auto"/>
              <w:outlineLvl w:val="6"/>
              <w:rPr>
                <w:b/>
                <w:sz w:val="22"/>
              </w:rPr>
            </w:pPr>
            <w:r w:rsidRPr="002A6084">
              <w:rPr>
                <w:b/>
                <w:sz w:val="22"/>
              </w:rPr>
              <w:t>L</w:t>
            </w:r>
          </w:p>
        </w:tc>
        <w:tc>
          <w:tcPr>
            <w:tcW w:w="8363" w:type="dxa"/>
            <w:gridSpan w:val="2"/>
            <w:shd w:val="clear" w:color="auto" w:fill="DEEAF6" w:themeFill="accent1" w:themeFillTint="33"/>
          </w:tcPr>
          <w:p w:rsidR="00A35860" w:rsidRPr="002A6084" w:rsidRDefault="00A35860" w:rsidP="005C7697">
            <w:pPr>
              <w:pStyle w:val="Heading7"/>
              <w:spacing w:before="20" w:after="20" w:line="259" w:lineRule="auto"/>
              <w:outlineLvl w:val="6"/>
              <w:rPr>
                <w:b/>
                <w:sz w:val="22"/>
              </w:rPr>
            </w:pPr>
          </w:p>
        </w:tc>
      </w:tr>
      <w:tr w:rsidR="00A35860" w:rsidRPr="008F6C2A" w:rsidTr="00063001">
        <w:trPr>
          <w:trHeight w:val="290"/>
        </w:trPr>
        <w:tc>
          <w:tcPr>
            <w:tcW w:w="709" w:type="dxa"/>
          </w:tcPr>
          <w:p w:rsidR="00A35860" w:rsidRPr="008F6C2A" w:rsidRDefault="00A35860" w:rsidP="00063001">
            <w:pPr>
              <w:jc w:val="both"/>
              <w:rPr>
                <w:sz w:val="20"/>
                <w:szCs w:val="20"/>
              </w:rPr>
            </w:pPr>
          </w:p>
        </w:tc>
        <w:tc>
          <w:tcPr>
            <w:tcW w:w="1134" w:type="dxa"/>
          </w:tcPr>
          <w:p w:rsidR="00A35860" w:rsidRPr="008F6C2A" w:rsidRDefault="00A35860" w:rsidP="00063001">
            <w:pPr>
              <w:jc w:val="both"/>
              <w:rPr>
                <w:sz w:val="20"/>
                <w:szCs w:val="20"/>
              </w:rPr>
            </w:pPr>
            <w:r w:rsidRPr="008F6C2A">
              <w:rPr>
                <w:sz w:val="20"/>
                <w:szCs w:val="20"/>
              </w:rPr>
              <w:t xml:space="preserve">LSF </w:t>
            </w:r>
          </w:p>
        </w:tc>
        <w:tc>
          <w:tcPr>
            <w:tcW w:w="7229" w:type="dxa"/>
          </w:tcPr>
          <w:p w:rsidR="00A35860" w:rsidRPr="008F6C2A" w:rsidRDefault="00A35860" w:rsidP="00063001">
            <w:pPr>
              <w:jc w:val="both"/>
              <w:rPr>
                <w:sz w:val="20"/>
                <w:szCs w:val="20"/>
              </w:rPr>
            </w:pPr>
            <w:r w:rsidRPr="008F6C2A">
              <w:rPr>
                <w:sz w:val="20"/>
                <w:szCs w:val="20"/>
              </w:rPr>
              <w:t xml:space="preserve">Langue des signes française </w:t>
            </w:r>
          </w:p>
        </w:tc>
      </w:tr>
      <w:tr w:rsidR="00A35860" w:rsidRPr="002A6084" w:rsidTr="00063001">
        <w:trPr>
          <w:trHeight w:val="290"/>
        </w:trPr>
        <w:tc>
          <w:tcPr>
            <w:tcW w:w="709" w:type="dxa"/>
            <w:shd w:val="clear" w:color="auto" w:fill="DEEAF6" w:themeFill="accent1" w:themeFillTint="33"/>
          </w:tcPr>
          <w:p w:rsidR="00A35860" w:rsidRPr="002A6084" w:rsidRDefault="00A35860" w:rsidP="005C7697">
            <w:pPr>
              <w:pStyle w:val="Heading7"/>
              <w:spacing w:before="20" w:after="20" w:line="259" w:lineRule="auto"/>
              <w:outlineLvl w:val="6"/>
              <w:rPr>
                <w:b/>
                <w:sz w:val="22"/>
              </w:rPr>
            </w:pPr>
            <w:r w:rsidRPr="002A6084">
              <w:rPr>
                <w:b/>
                <w:sz w:val="22"/>
              </w:rPr>
              <w:t>M</w:t>
            </w:r>
          </w:p>
        </w:tc>
        <w:tc>
          <w:tcPr>
            <w:tcW w:w="8363" w:type="dxa"/>
            <w:gridSpan w:val="2"/>
            <w:shd w:val="clear" w:color="auto" w:fill="DEEAF6" w:themeFill="accent1" w:themeFillTint="33"/>
          </w:tcPr>
          <w:p w:rsidR="00A35860" w:rsidRPr="002A6084" w:rsidRDefault="00A35860" w:rsidP="005C7697">
            <w:pPr>
              <w:pStyle w:val="Heading7"/>
              <w:spacing w:before="20" w:after="20" w:line="259" w:lineRule="auto"/>
              <w:outlineLvl w:val="6"/>
              <w:rPr>
                <w:b/>
                <w:sz w:val="22"/>
              </w:rPr>
            </w:pPr>
          </w:p>
        </w:tc>
      </w:tr>
      <w:tr w:rsidR="00A35860" w:rsidRPr="008F6C2A" w:rsidTr="00063001">
        <w:trPr>
          <w:trHeight w:val="290"/>
        </w:trPr>
        <w:tc>
          <w:tcPr>
            <w:tcW w:w="709" w:type="dxa"/>
          </w:tcPr>
          <w:p w:rsidR="00A35860" w:rsidRPr="008F6C2A" w:rsidRDefault="00A35860" w:rsidP="00063001">
            <w:pPr>
              <w:jc w:val="both"/>
              <w:rPr>
                <w:sz w:val="20"/>
                <w:szCs w:val="20"/>
              </w:rPr>
            </w:pPr>
          </w:p>
        </w:tc>
        <w:tc>
          <w:tcPr>
            <w:tcW w:w="1134" w:type="dxa"/>
          </w:tcPr>
          <w:p w:rsidR="00A35860" w:rsidRPr="008F6C2A" w:rsidRDefault="00A35860" w:rsidP="00063001">
            <w:pPr>
              <w:jc w:val="both"/>
              <w:rPr>
                <w:sz w:val="20"/>
                <w:szCs w:val="20"/>
              </w:rPr>
            </w:pPr>
            <w:r w:rsidRPr="008F6C2A">
              <w:rPr>
                <w:sz w:val="20"/>
                <w:szCs w:val="20"/>
              </w:rPr>
              <w:t>MDPH</w:t>
            </w:r>
          </w:p>
        </w:tc>
        <w:tc>
          <w:tcPr>
            <w:tcW w:w="7229" w:type="dxa"/>
          </w:tcPr>
          <w:p w:rsidR="00A35860" w:rsidRPr="008F6C2A" w:rsidRDefault="00A35860" w:rsidP="00063001">
            <w:pPr>
              <w:jc w:val="both"/>
              <w:rPr>
                <w:sz w:val="20"/>
                <w:szCs w:val="20"/>
              </w:rPr>
            </w:pPr>
            <w:r w:rsidRPr="008F6C2A">
              <w:rPr>
                <w:sz w:val="20"/>
                <w:szCs w:val="20"/>
              </w:rPr>
              <w:t xml:space="preserve">Maison départementale des personnes handicapées </w:t>
            </w:r>
          </w:p>
        </w:tc>
      </w:tr>
      <w:tr w:rsidR="00A35860" w:rsidRPr="002A6084" w:rsidTr="00063001">
        <w:trPr>
          <w:trHeight w:val="290"/>
        </w:trPr>
        <w:tc>
          <w:tcPr>
            <w:tcW w:w="709" w:type="dxa"/>
            <w:shd w:val="clear" w:color="auto" w:fill="DEEAF6" w:themeFill="accent1" w:themeFillTint="33"/>
          </w:tcPr>
          <w:p w:rsidR="00A35860" w:rsidRPr="002A6084" w:rsidRDefault="00A35860" w:rsidP="005C7697">
            <w:pPr>
              <w:pStyle w:val="Heading7"/>
              <w:spacing w:before="20" w:after="20" w:line="259" w:lineRule="auto"/>
              <w:outlineLvl w:val="6"/>
              <w:rPr>
                <w:b/>
                <w:sz w:val="22"/>
              </w:rPr>
            </w:pPr>
            <w:r w:rsidRPr="002A6084">
              <w:rPr>
                <w:b/>
                <w:sz w:val="22"/>
              </w:rPr>
              <w:t>O</w:t>
            </w:r>
          </w:p>
        </w:tc>
        <w:tc>
          <w:tcPr>
            <w:tcW w:w="8363" w:type="dxa"/>
            <w:gridSpan w:val="2"/>
            <w:shd w:val="clear" w:color="auto" w:fill="DEEAF6" w:themeFill="accent1" w:themeFillTint="33"/>
          </w:tcPr>
          <w:p w:rsidR="00A35860" w:rsidRPr="002A6084" w:rsidRDefault="00A35860" w:rsidP="005C7697">
            <w:pPr>
              <w:pStyle w:val="Heading7"/>
              <w:spacing w:before="20" w:after="20" w:line="259" w:lineRule="auto"/>
              <w:outlineLvl w:val="6"/>
              <w:rPr>
                <w:b/>
                <w:sz w:val="22"/>
              </w:rPr>
            </w:pPr>
          </w:p>
        </w:tc>
      </w:tr>
      <w:tr w:rsidR="00A35860" w:rsidRPr="008F6C2A" w:rsidTr="00063001">
        <w:trPr>
          <w:trHeight w:val="290"/>
        </w:trPr>
        <w:tc>
          <w:tcPr>
            <w:tcW w:w="709" w:type="dxa"/>
          </w:tcPr>
          <w:p w:rsidR="00A35860" w:rsidRPr="008F6C2A" w:rsidRDefault="00A35860" w:rsidP="00063001">
            <w:pPr>
              <w:jc w:val="both"/>
              <w:rPr>
                <w:sz w:val="20"/>
                <w:szCs w:val="20"/>
              </w:rPr>
            </w:pPr>
          </w:p>
        </w:tc>
        <w:tc>
          <w:tcPr>
            <w:tcW w:w="1134" w:type="dxa"/>
          </w:tcPr>
          <w:p w:rsidR="00A35860" w:rsidRPr="008F6C2A" w:rsidRDefault="00A35860" w:rsidP="00063001">
            <w:pPr>
              <w:jc w:val="both"/>
              <w:rPr>
                <w:sz w:val="20"/>
                <w:szCs w:val="20"/>
              </w:rPr>
            </w:pPr>
            <w:r w:rsidRPr="008F6C2A">
              <w:rPr>
                <w:sz w:val="20"/>
                <w:szCs w:val="20"/>
              </w:rPr>
              <w:t>ONG</w:t>
            </w:r>
          </w:p>
        </w:tc>
        <w:tc>
          <w:tcPr>
            <w:tcW w:w="7229" w:type="dxa"/>
          </w:tcPr>
          <w:p w:rsidR="00A35860" w:rsidRPr="008F6C2A" w:rsidRDefault="00A35860" w:rsidP="00063001">
            <w:pPr>
              <w:jc w:val="both"/>
              <w:rPr>
                <w:sz w:val="20"/>
                <w:szCs w:val="20"/>
              </w:rPr>
            </w:pPr>
            <w:r w:rsidRPr="008F6C2A">
              <w:rPr>
                <w:sz w:val="20"/>
                <w:szCs w:val="20"/>
              </w:rPr>
              <w:t xml:space="preserve">Organisation non-gouvernementale </w:t>
            </w:r>
          </w:p>
        </w:tc>
      </w:tr>
      <w:tr w:rsidR="00A35860" w:rsidRPr="002A6084" w:rsidTr="00063001">
        <w:trPr>
          <w:trHeight w:val="290"/>
        </w:trPr>
        <w:tc>
          <w:tcPr>
            <w:tcW w:w="709" w:type="dxa"/>
            <w:shd w:val="clear" w:color="auto" w:fill="DEEAF6" w:themeFill="accent1" w:themeFillTint="33"/>
          </w:tcPr>
          <w:p w:rsidR="00A35860" w:rsidRPr="002A6084" w:rsidRDefault="00A35860" w:rsidP="005C7697">
            <w:pPr>
              <w:pStyle w:val="Heading7"/>
              <w:spacing w:before="20" w:after="20" w:line="259" w:lineRule="auto"/>
              <w:outlineLvl w:val="6"/>
              <w:rPr>
                <w:rStyle w:val="Emphasis"/>
                <w:b/>
                <w:bCs/>
                <w:i/>
                <w:sz w:val="22"/>
              </w:rPr>
            </w:pPr>
            <w:r w:rsidRPr="002A6084">
              <w:rPr>
                <w:rStyle w:val="Emphasis"/>
                <w:b/>
                <w:bCs/>
                <w:i/>
                <w:sz w:val="22"/>
              </w:rPr>
              <w:t>P</w:t>
            </w:r>
          </w:p>
        </w:tc>
        <w:tc>
          <w:tcPr>
            <w:tcW w:w="8363" w:type="dxa"/>
            <w:gridSpan w:val="2"/>
            <w:shd w:val="clear" w:color="auto" w:fill="DEEAF6" w:themeFill="accent1" w:themeFillTint="33"/>
          </w:tcPr>
          <w:p w:rsidR="00A35860" w:rsidRPr="002A6084" w:rsidRDefault="00A35860" w:rsidP="005C7697">
            <w:pPr>
              <w:pStyle w:val="Heading7"/>
              <w:spacing w:before="20" w:after="20" w:line="259" w:lineRule="auto"/>
              <w:outlineLvl w:val="6"/>
              <w:rPr>
                <w:b/>
                <w:i w:val="0"/>
                <w:sz w:val="22"/>
              </w:rPr>
            </w:pPr>
          </w:p>
        </w:tc>
      </w:tr>
      <w:tr w:rsidR="00A35860" w:rsidRPr="008F6C2A" w:rsidTr="00063001">
        <w:trPr>
          <w:trHeight w:val="290"/>
        </w:trPr>
        <w:tc>
          <w:tcPr>
            <w:tcW w:w="709" w:type="dxa"/>
          </w:tcPr>
          <w:p w:rsidR="00A35860" w:rsidRPr="008F6C2A" w:rsidRDefault="00A35860" w:rsidP="00063001">
            <w:pPr>
              <w:jc w:val="both"/>
              <w:rPr>
                <w:sz w:val="20"/>
                <w:szCs w:val="20"/>
              </w:rPr>
            </w:pPr>
          </w:p>
        </w:tc>
        <w:tc>
          <w:tcPr>
            <w:tcW w:w="1134" w:type="dxa"/>
          </w:tcPr>
          <w:p w:rsidR="00A35860" w:rsidRPr="008F6C2A" w:rsidRDefault="00A35860" w:rsidP="00063001">
            <w:pPr>
              <w:jc w:val="both"/>
              <w:rPr>
                <w:sz w:val="20"/>
                <w:szCs w:val="20"/>
              </w:rPr>
            </w:pPr>
            <w:r w:rsidRPr="008F6C2A">
              <w:rPr>
                <w:sz w:val="20"/>
                <w:szCs w:val="20"/>
              </w:rPr>
              <w:t xml:space="preserve">PCH </w:t>
            </w:r>
          </w:p>
        </w:tc>
        <w:tc>
          <w:tcPr>
            <w:tcW w:w="7229" w:type="dxa"/>
          </w:tcPr>
          <w:p w:rsidR="00A35860" w:rsidRPr="008F6C2A" w:rsidRDefault="00A35860" w:rsidP="00063001">
            <w:pPr>
              <w:jc w:val="both"/>
              <w:rPr>
                <w:sz w:val="20"/>
                <w:szCs w:val="20"/>
              </w:rPr>
            </w:pPr>
            <w:r w:rsidRPr="008F6C2A">
              <w:rPr>
                <w:sz w:val="20"/>
                <w:szCs w:val="20"/>
              </w:rPr>
              <w:t xml:space="preserve">Prestation de compensation handicap </w:t>
            </w:r>
          </w:p>
        </w:tc>
      </w:tr>
      <w:tr w:rsidR="00A35860" w:rsidRPr="008F6C2A" w:rsidTr="00063001">
        <w:trPr>
          <w:trHeight w:val="290"/>
        </w:trPr>
        <w:tc>
          <w:tcPr>
            <w:tcW w:w="709" w:type="dxa"/>
          </w:tcPr>
          <w:p w:rsidR="00A35860" w:rsidRPr="008F6C2A" w:rsidRDefault="00A35860" w:rsidP="00063001">
            <w:pPr>
              <w:jc w:val="both"/>
              <w:rPr>
                <w:sz w:val="20"/>
                <w:szCs w:val="20"/>
              </w:rPr>
            </w:pPr>
          </w:p>
        </w:tc>
        <w:tc>
          <w:tcPr>
            <w:tcW w:w="1134" w:type="dxa"/>
          </w:tcPr>
          <w:p w:rsidR="00A35860" w:rsidRPr="008F6C2A" w:rsidRDefault="00A35860" w:rsidP="00063001">
            <w:pPr>
              <w:jc w:val="both"/>
              <w:rPr>
                <w:sz w:val="20"/>
                <w:szCs w:val="20"/>
              </w:rPr>
            </w:pPr>
            <w:r w:rsidRPr="008F6C2A">
              <w:rPr>
                <w:sz w:val="20"/>
                <w:szCs w:val="20"/>
              </w:rPr>
              <w:t xml:space="preserve">PPS </w:t>
            </w:r>
          </w:p>
        </w:tc>
        <w:tc>
          <w:tcPr>
            <w:tcW w:w="7229" w:type="dxa"/>
          </w:tcPr>
          <w:p w:rsidR="00A35860" w:rsidRPr="008F6C2A" w:rsidRDefault="00A35860" w:rsidP="00063001">
            <w:pPr>
              <w:jc w:val="both"/>
              <w:rPr>
                <w:sz w:val="20"/>
                <w:szCs w:val="20"/>
              </w:rPr>
            </w:pPr>
            <w:r w:rsidRPr="008F6C2A">
              <w:rPr>
                <w:sz w:val="20"/>
                <w:szCs w:val="20"/>
              </w:rPr>
              <w:t xml:space="preserve">Projet personnalisé de scolarité </w:t>
            </w:r>
          </w:p>
        </w:tc>
      </w:tr>
      <w:tr w:rsidR="005C7697" w:rsidRPr="002A6084" w:rsidTr="00767152">
        <w:trPr>
          <w:trHeight w:val="290"/>
        </w:trPr>
        <w:tc>
          <w:tcPr>
            <w:tcW w:w="709" w:type="dxa"/>
            <w:shd w:val="clear" w:color="auto" w:fill="DEEAF6" w:themeFill="accent1" w:themeFillTint="33"/>
          </w:tcPr>
          <w:p w:rsidR="005C7697" w:rsidRPr="002A6084" w:rsidRDefault="005C7697" w:rsidP="005C7697">
            <w:pPr>
              <w:pStyle w:val="Heading7"/>
              <w:spacing w:before="20" w:after="20" w:line="259" w:lineRule="auto"/>
              <w:outlineLvl w:val="6"/>
              <w:rPr>
                <w:b/>
                <w:sz w:val="22"/>
              </w:rPr>
            </w:pPr>
            <w:r>
              <w:rPr>
                <w:b/>
                <w:sz w:val="22"/>
              </w:rPr>
              <w:t>T</w:t>
            </w:r>
          </w:p>
        </w:tc>
        <w:tc>
          <w:tcPr>
            <w:tcW w:w="1134" w:type="dxa"/>
            <w:shd w:val="clear" w:color="auto" w:fill="DEEAF6" w:themeFill="accent1" w:themeFillTint="33"/>
          </w:tcPr>
          <w:p w:rsidR="005C7697" w:rsidRPr="002A6084" w:rsidRDefault="005C7697" w:rsidP="005C7697">
            <w:pPr>
              <w:pStyle w:val="Heading7"/>
              <w:spacing w:before="20" w:after="20" w:line="259" w:lineRule="auto"/>
              <w:outlineLvl w:val="6"/>
              <w:rPr>
                <w:b/>
                <w:sz w:val="22"/>
              </w:rPr>
            </w:pPr>
          </w:p>
        </w:tc>
        <w:tc>
          <w:tcPr>
            <w:tcW w:w="7229" w:type="dxa"/>
            <w:shd w:val="clear" w:color="auto" w:fill="DEEAF6" w:themeFill="accent1" w:themeFillTint="33"/>
          </w:tcPr>
          <w:p w:rsidR="005C7697" w:rsidRPr="002A6084" w:rsidRDefault="005C7697" w:rsidP="005C7697">
            <w:pPr>
              <w:spacing w:before="20" w:after="20"/>
              <w:jc w:val="both"/>
            </w:pPr>
          </w:p>
        </w:tc>
      </w:tr>
      <w:tr w:rsidR="005C7697" w:rsidRPr="008F6C2A" w:rsidTr="00767152">
        <w:trPr>
          <w:trHeight w:val="290"/>
        </w:trPr>
        <w:tc>
          <w:tcPr>
            <w:tcW w:w="709" w:type="dxa"/>
          </w:tcPr>
          <w:p w:rsidR="005C7697" w:rsidRPr="008F6C2A" w:rsidRDefault="005C7697" w:rsidP="00767152">
            <w:pPr>
              <w:jc w:val="both"/>
              <w:rPr>
                <w:sz w:val="20"/>
                <w:szCs w:val="20"/>
              </w:rPr>
            </w:pPr>
          </w:p>
        </w:tc>
        <w:tc>
          <w:tcPr>
            <w:tcW w:w="1134" w:type="dxa"/>
          </w:tcPr>
          <w:p w:rsidR="005C7697" w:rsidRPr="008F6C2A" w:rsidRDefault="005C7697" w:rsidP="00767152">
            <w:pPr>
              <w:jc w:val="both"/>
              <w:rPr>
                <w:sz w:val="20"/>
                <w:szCs w:val="20"/>
              </w:rPr>
            </w:pPr>
            <w:r w:rsidRPr="008F6C2A">
              <w:rPr>
                <w:sz w:val="20"/>
                <w:szCs w:val="20"/>
              </w:rPr>
              <w:t>TIC</w:t>
            </w:r>
          </w:p>
        </w:tc>
        <w:tc>
          <w:tcPr>
            <w:tcW w:w="7229" w:type="dxa"/>
          </w:tcPr>
          <w:p w:rsidR="005C7697" w:rsidRPr="008F6C2A" w:rsidRDefault="005C7697" w:rsidP="00767152">
            <w:pPr>
              <w:jc w:val="both"/>
              <w:rPr>
                <w:sz w:val="20"/>
                <w:szCs w:val="20"/>
              </w:rPr>
            </w:pPr>
            <w:r w:rsidRPr="008F6C2A">
              <w:rPr>
                <w:rFonts w:cstheme="minorHAnsi"/>
                <w:sz w:val="20"/>
                <w:szCs w:val="20"/>
              </w:rPr>
              <w:t>Nouvelles technologies de l'information et de la communication</w:t>
            </w:r>
          </w:p>
        </w:tc>
      </w:tr>
      <w:tr w:rsidR="00A35860" w:rsidRPr="002A6084" w:rsidTr="00063001">
        <w:trPr>
          <w:trHeight w:val="290"/>
        </w:trPr>
        <w:tc>
          <w:tcPr>
            <w:tcW w:w="709" w:type="dxa"/>
            <w:shd w:val="clear" w:color="auto" w:fill="DEEAF6" w:themeFill="accent1" w:themeFillTint="33"/>
          </w:tcPr>
          <w:p w:rsidR="00A35860" w:rsidRPr="002A6084" w:rsidRDefault="00A35860" w:rsidP="005C7697">
            <w:pPr>
              <w:pStyle w:val="Heading7"/>
              <w:spacing w:before="20" w:after="20" w:line="259" w:lineRule="auto"/>
              <w:outlineLvl w:val="6"/>
              <w:rPr>
                <w:rStyle w:val="Emphasis"/>
                <w:b/>
                <w:bCs/>
                <w:i/>
                <w:iCs/>
                <w:sz w:val="22"/>
              </w:rPr>
            </w:pPr>
            <w:r w:rsidRPr="002A6084">
              <w:rPr>
                <w:rStyle w:val="Emphasis"/>
                <w:b/>
                <w:bCs/>
                <w:i/>
                <w:iCs/>
                <w:sz w:val="22"/>
              </w:rPr>
              <w:t>U</w:t>
            </w:r>
          </w:p>
        </w:tc>
        <w:tc>
          <w:tcPr>
            <w:tcW w:w="8363" w:type="dxa"/>
            <w:gridSpan w:val="2"/>
            <w:shd w:val="clear" w:color="auto" w:fill="DEEAF6" w:themeFill="accent1" w:themeFillTint="33"/>
          </w:tcPr>
          <w:p w:rsidR="00A35860" w:rsidRPr="002A6084" w:rsidRDefault="00A35860" w:rsidP="005C7697">
            <w:pPr>
              <w:pStyle w:val="Heading7"/>
              <w:spacing w:before="20" w:after="20" w:line="259" w:lineRule="auto"/>
              <w:outlineLvl w:val="6"/>
              <w:rPr>
                <w:b/>
                <w:i w:val="0"/>
                <w:sz w:val="22"/>
              </w:rPr>
            </w:pPr>
          </w:p>
        </w:tc>
      </w:tr>
      <w:tr w:rsidR="00A35860" w:rsidRPr="008F6C2A" w:rsidTr="00063001">
        <w:trPr>
          <w:trHeight w:val="290"/>
        </w:trPr>
        <w:tc>
          <w:tcPr>
            <w:tcW w:w="709" w:type="dxa"/>
          </w:tcPr>
          <w:p w:rsidR="00A35860" w:rsidRPr="008F6C2A" w:rsidRDefault="00A35860" w:rsidP="00063001">
            <w:pPr>
              <w:jc w:val="both"/>
              <w:rPr>
                <w:sz w:val="20"/>
                <w:szCs w:val="20"/>
              </w:rPr>
            </w:pPr>
          </w:p>
        </w:tc>
        <w:tc>
          <w:tcPr>
            <w:tcW w:w="1134" w:type="dxa"/>
          </w:tcPr>
          <w:p w:rsidR="00A35860" w:rsidRPr="008F6C2A" w:rsidRDefault="00A35860" w:rsidP="00063001">
            <w:pPr>
              <w:jc w:val="both"/>
              <w:rPr>
                <w:sz w:val="20"/>
                <w:szCs w:val="20"/>
              </w:rPr>
            </w:pPr>
            <w:r w:rsidRPr="008F6C2A">
              <w:rPr>
                <w:sz w:val="20"/>
                <w:szCs w:val="20"/>
              </w:rPr>
              <w:t>UE</w:t>
            </w:r>
          </w:p>
        </w:tc>
        <w:tc>
          <w:tcPr>
            <w:tcW w:w="7229" w:type="dxa"/>
          </w:tcPr>
          <w:p w:rsidR="00A35860" w:rsidRPr="008F6C2A" w:rsidRDefault="00A35860" w:rsidP="00063001">
            <w:pPr>
              <w:jc w:val="both"/>
              <w:rPr>
                <w:sz w:val="20"/>
                <w:szCs w:val="20"/>
              </w:rPr>
            </w:pPr>
            <w:r w:rsidRPr="008F6C2A">
              <w:rPr>
                <w:sz w:val="20"/>
                <w:szCs w:val="20"/>
              </w:rPr>
              <w:t>Union européenne</w:t>
            </w:r>
          </w:p>
        </w:tc>
      </w:tr>
    </w:tbl>
    <w:p w:rsidR="00A3505F" w:rsidRDefault="00A3505F" w:rsidP="00A3505F">
      <w:pPr>
        <w:pStyle w:val="Heading1"/>
        <w:spacing w:before="0" w:after="20"/>
        <w:jc w:val="both"/>
      </w:pPr>
      <w:bookmarkStart w:id="78" w:name="_Toc29546085"/>
      <w:bookmarkStart w:id="79" w:name="_Toc18076125"/>
      <w:r>
        <w:t>Notes</w:t>
      </w:r>
      <w:bookmarkEnd w:id="78"/>
      <w:r>
        <w:t xml:space="preserve"> </w:t>
      </w:r>
    </w:p>
    <w:p w:rsidR="00A3505F" w:rsidRDefault="00A3505F" w:rsidP="00F85197">
      <w:pPr>
        <w:pStyle w:val="Heading1"/>
        <w:spacing w:before="0" w:after="20"/>
        <w:jc w:val="both"/>
      </w:pPr>
    </w:p>
    <w:p w:rsidR="00A3505F" w:rsidRPr="00A3505F" w:rsidRDefault="00A3505F" w:rsidP="00A3505F">
      <w:pPr>
        <w:sectPr w:rsidR="00A3505F" w:rsidRPr="00A3505F" w:rsidSect="00027EF9">
          <w:headerReference w:type="default" r:id="rId11"/>
          <w:footerReference w:type="default" r:id="rId12"/>
          <w:endnotePr>
            <w:numFmt w:val="decimal"/>
          </w:endnotePr>
          <w:pgSz w:w="11906" w:h="16838"/>
          <w:pgMar w:top="1417" w:right="1417" w:bottom="1417" w:left="1417" w:header="708" w:footer="708" w:gutter="0"/>
          <w:pgNumType w:start="0"/>
          <w:cols w:space="708"/>
          <w:titlePg/>
          <w:docGrid w:linePitch="360"/>
        </w:sectPr>
      </w:pPr>
    </w:p>
    <w:p w:rsidR="009C5804" w:rsidRDefault="009C5804">
      <w:pPr>
        <w:spacing w:after="160"/>
      </w:pPr>
      <w:r>
        <w:lastRenderedPageBreak/>
        <w:br w:type="page"/>
      </w:r>
    </w:p>
    <w:p w:rsidR="00A3505F" w:rsidRDefault="009C5804" w:rsidP="00A3505F">
      <w:r>
        <w:rPr>
          <w:noProof/>
          <w:lang w:val="en-GB" w:eastAsia="en-GB"/>
        </w:rPr>
        <w:lastRenderedPageBreak/>
        <mc:AlternateContent>
          <mc:Choice Requires="wps">
            <w:drawing>
              <wp:anchor distT="0" distB="0" distL="114300" distR="114300" simplePos="0" relativeHeight="251660288" behindDoc="0" locked="0" layoutInCell="1" allowOverlap="1" wp14:anchorId="0B924376" wp14:editId="0532C03E">
                <wp:simplePos x="0" y="0"/>
                <wp:positionH relativeFrom="column">
                  <wp:posOffset>-575945</wp:posOffset>
                </wp:positionH>
                <wp:positionV relativeFrom="paragraph">
                  <wp:posOffset>-503387</wp:posOffset>
                </wp:positionV>
                <wp:extent cx="6915785" cy="9949180"/>
                <wp:effectExtent l="0" t="0" r="18415" b="13970"/>
                <wp:wrapNone/>
                <wp:docPr id="9" name="Rectangle 9"/>
                <wp:cNvGraphicFramePr/>
                <a:graphic xmlns:a="http://schemas.openxmlformats.org/drawingml/2006/main">
                  <a:graphicData uri="http://schemas.microsoft.com/office/word/2010/wordprocessingShape">
                    <wps:wsp>
                      <wps:cNvSpPr/>
                      <wps:spPr>
                        <a:xfrm>
                          <a:off x="0" y="0"/>
                          <a:ext cx="6915785" cy="99491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67152" w:rsidRDefault="00767152" w:rsidP="009C5804">
                            <w:pPr>
                              <w:spacing w:line="240" w:lineRule="auto"/>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r>
                              <w:rPr>
                                <w:noProof/>
                                <w:lang w:val="en-GB" w:eastAsia="en-GB"/>
                              </w:rPr>
                              <w:drawing>
                                <wp:inline distT="0" distB="0" distL="0" distR="0" wp14:anchorId="13A5FFAD" wp14:editId="624E5022">
                                  <wp:extent cx="1271680" cy="1417979"/>
                                  <wp:effectExtent l="0" t="0" r="508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6786" t="13815" r="35846" b="12110"/>
                                          <a:stretch/>
                                        </pic:blipFill>
                                        <pic:spPr bwMode="auto">
                                          <a:xfrm>
                                            <a:off x="0" y="0"/>
                                            <a:ext cx="1277775" cy="1424775"/>
                                          </a:xfrm>
                                          <a:prstGeom prst="rect">
                                            <a:avLst/>
                                          </a:prstGeom>
                                          <a:ln>
                                            <a:noFill/>
                                          </a:ln>
                                          <a:extLst>
                                            <a:ext uri="{53640926-AAD7-44D8-BBD7-CCE9431645EC}">
                                              <a14:shadowObscured xmlns:a14="http://schemas.microsoft.com/office/drawing/2010/main"/>
                                            </a:ext>
                                          </a:extLst>
                                        </pic:spPr>
                                      </pic:pic>
                                    </a:graphicData>
                                  </a:graphic>
                                </wp:inline>
                              </w:drawing>
                            </w:r>
                          </w:p>
                          <w:p w:rsidR="00767152" w:rsidRDefault="00767152" w:rsidP="00A3505F">
                            <w:pPr>
                              <w:spacing w:line="240" w:lineRule="auto"/>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color w:val="3B3838" w:themeColor="background2" w:themeShade="40"/>
                                <w:sz w:val="24"/>
                              </w:rPr>
                            </w:pPr>
                            <w:r>
                              <w:rPr>
                                <w:b/>
                                <w:color w:val="3B3838" w:themeColor="background2" w:themeShade="40"/>
                                <w:sz w:val="24"/>
                              </w:rPr>
                              <w:t>C</w:t>
                            </w:r>
                            <w:r>
                              <w:rPr>
                                <w:color w:val="3B3838" w:themeColor="background2" w:themeShade="40"/>
                                <w:sz w:val="24"/>
                              </w:rPr>
                              <w:t xml:space="preserve">onseil </w:t>
                            </w:r>
                            <w:r>
                              <w:rPr>
                                <w:b/>
                                <w:color w:val="3B3838" w:themeColor="background2" w:themeShade="40"/>
                                <w:sz w:val="24"/>
                              </w:rPr>
                              <w:t>F</w:t>
                            </w:r>
                            <w:r>
                              <w:rPr>
                                <w:color w:val="3B3838" w:themeColor="background2" w:themeShade="40"/>
                                <w:sz w:val="24"/>
                              </w:rPr>
                              <w:t xml:space="preserve">rançais des personnes </w:t>
                            </w:r>
                            <w:r>
                              <w:rPr>
                                <w:b/>
                                <w:color w:val="3B3838" w:themeColor="background2" w:themeShade="40"/>
                                <w:sz w:val="24"/>
                              </w:rPr>
                              <w:t>H</w:t>
                            </w:r>
                            <w:r>
                              <w:rPr>
                                <w:color w:val="3B3838" w:themeColor="background2" w:themeShade="40"/>
                                <w:sz w:val="24"/>
                              </w:rPr>
                              <w:t xml:space="preserve">andicapées pour les questions </w:t>
                            </w:r>
                            <w:r>
                              <w:rPr>
                                <w:b/>
                                <w:color w:val="3B3838" w:themeColor="background2" w:themeShade="40"/>
                                <w:sz w:val="24"/>
                              </w:rPr>
                              <w:t>E</w:t>
                            </w:r>
                            <w:r>
                              <w:rPr>
                                <w:color w:val="3B3838" w:themeColor="background2" w:themeShade="40"/>
                                <w:sz w:val="24"/>
                              </w:rPr>
                              <w:t>uropéennes</w:t>
                            </w:r>
                          </w:p>
                          <w:p w:rsidR="00767152" w:rsidRDefault="00767152" w:rsidP="00A3505F">
                            <w:pPr>
                              <w:spacing w:line="240" w:lineRule="auto"/>
                              <w:jc w:val="center"/>
                              <w:rPr>
                                <w:color w:val="3B3838" w:themeColor="background2" w:themeShade="40"/>
                              </w:rPr>
                            </w:pPr>
                            <w:r>
                              <w:rPr>
                                <w:color w:val="3B3838" w:themeColor="background2" w:themeShade="40"/>
                              </w:rPr>
                              <w:t>17 boulevard Auguste Blanqui 75013 Paris</w:t>
                            </w:r>
                          </w:p>
                          <w:p w:rsidR="00767152" w:rsidRDefault="00767152" w:rsidP="00A3505F">
                            <w:pPr>
                              <w:spacing w:line="240" w:lineRule="auto"/>
                              <w:jc w:val="center"/>
                              <w:rPr>
                                <w:color w:val="3B3838" w:themeColor="background2" w:themeShade="40"/>
                              </w:rPr>
                            </w:pPr>
                            <w:r>
                              <w:rPr>
                                <w:color w:val="3B3838" w:themeColor="background2" w:themeShade="40"/>
                              </w:rPr>
                              <w:t xml:space="preserve">+33(0)1 40 78 69 45 | </w:t>
                            </w:r>
                            <w:hyperlink r:id="rId13" w:history="1">
                              <w:r w:rsidRPr="003C6998">
                                <w:rPr>
                                  <w:rStyle w:val="Hyperlink"/>
                                </w:rPr>
                                <w:t>www.cfhe.org</w:t>
                              </w:r>
                            </w:hyperlink>
                          </w:p>
                          <w:p w:rsidR="00767152" w:rsidRDefault="00767152" w:rsidP="00A3505F">
                            <w:pPr>
                              <w:spacing w:line="240" w:lineRule="auto"/>
                              <w:jc w:val="center"/>
                              <w:rPr>
                                <w:color w:val="3B3838" w:themeColor="background2" w:themeShade="40"/>
                              </w:rPr>
                            </w:pPr>
                          </w:p>
                          <w:p w:rsidR="00767152" w:rsidRPr="0091402E" w:rsidRDefault="00767152" w:rsidP="00A3505F">
                            <w:pPr>
                              <w:jc w:val="center"/>
                              <w:rPr>
                                <w:color w:val="000000" w:themeColor="text1"/>
                                <w:sz w:val="28"/>
                              </w:rPr>
                            </w:pPr>
                            <w:r w:rsidRPr="0091402E">
                              <w:rPr>
                                <w:noProof/>
                                <w:color w:val="000000" w:themeColor="text1"/>
                                <w:lang w:val="en-GB" w:eastAsia="en-GB"/>
                              </w:rPr>
                              <w:drawing>
                                <wp:inline distT="0" distB="0" distL="0" distR="0" wp14:anchorId="716522B5" wp14:editId="4FF16B58">
                                  <wp:extent cx="251460" cy="251460"/>
                                  <wp:effectExtent l="0" t="0" r="0" b="0"/>
                                  <wp:docPr id="11" name="Image 1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pic:spPr>
                                      </pic:pic>
                                    </a:graphicData>
                                  </a:graphic>
                                </wp:inline>
                              </w:drawing>
                            </w:r>
                            <w:r>
                              <w:rPr>
                                <w:noProof/>
                                <w:color w:val="000000" w:themeColor="text1"/>
                                <w:lang w:eastAsia="fr-FR"/>
                              </w:rPr>
                              <w:t xml:space="preserve">   </w:t>
                            </w:r>
                            <w:r w:rsidRPr="0091402E">
                              <w:rPr>
                                <w:noProof/>
                                <w:color w:val="000000" w:themeColor="text1"/>
                                <w:lang w:val="en-GB" w:eastAsia="en-GB"/>
                              </w:rPr>
                              <w:drawing>
                                <wp:inline distT="0" distB="0" distL="0" distR="0" wp14:anchorId="7BAFF6E4" wp14:editId="289F868F">
                                  <wp:extent cx="251460" cy="25146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pic:spPr>
                                      </pic:pic>
                                    </a:graphicData>
                                  </a:graphic>
                                </wp:inline>
                              </w:drawing>
                            </w:r>
                            <w:r>
                              <w:rPr>
                                <w:noProof/>
                                <w:color w:val="000000" w:themeColor="text1"/>
                                <w:lang w:eastAsia="fr-FR"/>
                              </w:rPr>
                              <w:t xml:space="preserve">  </w:t>
                            </w:r>
                            <w:r w:rsidRPr="0091402E">
                              <w:rPr>
                                <w:noProof/>
                                <w:color w:val="000000" w:themeColor="text1"/>
                                <w:lang w:val="en-GB" w:eastAsia="en-GB"/>
                              </w:rPr>
                              <w:drawing>
                                <wp:inline distT="0" distB="0" distL="0" distR="0" wp14:anchorId="0AF9EE00" wp14:editId="312C2581">
                                  <wp:extent cx="309880" cy="251460"/>
                                  <wp:effectExtent l="0" t="0" r="0" b="0"/>
                                  <wp:docPr id="13" name="Image 13"/>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9880" cy="251460"/>
                                          </a:xfrm>
                                          <a:prstGeom prst="rect">
                                            <a:avLst/>
                                          </a:prstGeom>
                                          <a:noFill/>
                                        </pic:spPr>
                                      </pic:pic>
                                    </a:graphicData>
                                  </a:graphic>
                                </wp:inline>
                              </w:drawing>
                            </w:r>
                            <w:r w:rsidRPr="0091402E">
                              <w:rPr>
                                <w:color w:val="000000" w:themeColor="text1"/>
                                <w:sz w:val="28"/>
                              </w:rPr>
                              <w:t>@cfhe_europe</w:t>
                            </w:r>
                          </w:p>
                          <w:p w:rsidR="00767152" w:rsidRDefault="00767152" w:rsidP="00A350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924376" id="Rectangle 9" o:spid="_x0000_s1026" style="position:absolute;margin-left:-45.35pt;margin-top:-39.65pt;width:544.55pt;height:783.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" fillcolor="white [3212]" strokecolor="white [3212]" strokeweight="1pt">
                <v:textbox>
                  <w:txbxContent>
                    <w:p w:rsidR="00767152" w:rsidRDefault="00767152" w:rsidP="009C5804">
                      <w:pPr>
                        <w:spacing w:line="240" w:lineRule="auto"/>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r>
                        <w:rPr>
                          <w:noProof/>
                          <w:lang w:eastAsia="fr-FR"/>
                        </w:rPr>
                        <w:drawing>
                          <wp:inline distT="0" distB="0" distL="0" distR="0" wp14:anchorId="13A5FFAD" wp14:editId="624E5022">
                            <wp:extent cx="1271680" cy="1417979"/>
                            <wp:effectExtent l="0" t="0" r="508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6786" t="13815" r="35846" b="12110"/>
                                    <a:stretch/>
                                  </pic:blipFill>
                                  <pic:spPr bwMode="auto">
                                    <a:xfrm>
                                      <a:off x="0" y="0"/>
                                      <a:ext cx="1277775" cy="1424775"/>
                                    </a:xfrm>
                                    <a:prstGeom prst="rect">
                                      <a:avLst/>
                                    </a:prstGeom>
                                    <a:ln>
                                      <a:noFill/>
                                    </a:ln>
                                    <a:extLst>
                                      <a:ext uri="{53640926-AAD7-44D8-BBD7-CCE9431645EC}">
                                        <a14:shadowObscured xmlns:a14="http://schemas.microsoft.com/office/drawing/2010/main"/>
                                      </a:ext>
                                    </a:extLst>
                                  </pic:spPr>
                                </pic:pic>
                              </a:graphicData>
                            </a:graphic>
                          </wp:inline>
                        </w:drawing>
                      </w:r>
                    </w:p>
                    <w:p w:rsidR="00767152" w:rsidRDefault="00767152" w:rsidP="00A3505F">
                      <w:pPr>
                        <w:spacing w:line="240" w:lineRule="auto"/>
                        <w:rPr>
                          <w:b/>
                          <w:color w:val="3B3838" w:themeColor="background2" w:themeShade="40"/>
                          <w:sz w:val="24"/>
                        </w:rPr>
                      </w:pPr>
                    </w:p>
                    <w:p w:rsidR="00767152" w:rsidRDefault="00767152" w:rsidP="00A3505F">
                      <w:pPr>
                        <w:spacing w:line="240" w:lineRule="auto"/>
                        <w:jc w:val="center"/>
                        <w:rPr>
                          <w:b/>
                          <w:color w:val="3B3838" w:themeColor="background2" w:themeShade="40"/>
                          <w:sz w:val="24"/>
                        </w:rPr>
                      </w:pPr>
                    </w:p>
                    <w:p w:rsidR="00767152" w:rsidRDefault="00767152" w:rsidP="00A3505F">
                      <w:pPr>
                        <w:spacing w:line="240" w:lineRule="auto"/>
                        <w:jc w:val="center"/>
                        <w:rPr>
                          <w:color w:val="3B3838" w:themeColor="background2" w:themeShade="40"/>
                          <w:sz w:val="24"/>
                        </w:rPr>
                      </w:pPr>
                      <w:r>
                        <w:rPr>
                          <w:b/>
                          <w:color w:val="3B3838" w:themeColor="background2" w:themeShade="40"/>
                          <w:sz w:val="24"/>
                        </w:rPr>
                        <w:t>C</w:t>
                      </w:r>
                      <w:r>
                        <w:rPr>
                          <w:color w:val="3B3838" w:themeColor="background2" w:themeShade="40"/>
                          <w:sz w:val="24"/>
                        </w:rPr>
                        <w:t xml:space="preserve">onseil </w:t>
                      </w:r>
                      <w:r>
                        <w:rPr>
                          <w:b/>
                          <w:color w:val="3B3838" w:themeColor="background2" w:themeShade="40"/>
                          <w:sz w:val="24"/>
                        </w:rPr>
                        <w:t>F</w:t>
                      </w:r>
                      <w:r>
                        <w:rPr>
                          <w:color w:val="3B3838" w:themeColor="background2" w:themeShade="40"/>
                          <w:sz w:val="24"/>
                        </w:rPr>
                        <w:t xml:space="preserve">rançais des personnes </w:t>
                      </w:r>
                      <w:r>
                        <w:rPr>
                          <w:b/>
                          <w:color w:val="3B3838" w:themeColor="background2" w:themeShade="40"/>
                          <w:sz w:val="24"/>
                        </w:rPr>
                        <w:t>H</w:t>
                      </w:r>
                      <w:r>
                        <w:rPr>
                          <w:color w:val="3B3838" w:themeColor="background2" w:themeShade="40"/>
                          <w:sz w:val="24"/>
                        </w:rPr>
                        <w:t xml:space="preserve">andicapées pour les questions </w:t>
                      </w:r>
                      <w:r>
                        <w:rPr>
                          <w:b/>
                          <w:color w:val="3B3838" w:themeColor="background2" w:themeShade="40"/>
                          <w:sz w:val="24"/>
                        </w:rPr>
                        <w:t>E</w:t>
                      </w:r>
                      <w:r>
                        <w:rPr>
                          <w:color w:val="3B3838" w:themeColor="background2" w:themeShade="40"/>
                          <w:sz w:val="24"/>
                        </w:rPr>
                        <w:t>uropéennes</w:t>
                      </w:r>
                    </w:p>
                    <w:p w:rsidR="00767152" w:rsidRDefault="00767152" w:rsidP="00A3505F">
                      <w:pPr>
                        <w:spacing w:line="240" w:lineRule="auto"/>
                        <w:jc w:val="center"/>
                        <w:rPr>
                          <w:color w:val="3B3838" w:themeColor="background2" w:themeShade="40"/>
                        </w:rPr>
                      </w:pPr>
                      <w:r>
                        <w:rPr>
                          <w:color w:val="3B3838" w:themeColor="background2" w:themeShade="40"/>
                        </w:rPr>
                        <w:t>17 boulevard Auguste Blanqui 75013 Paris</w:t>
                      </w:r>
                    </w:p>
                    <w:p w:rsidR="00767152" w:rsidRDefault="00767152" w:rsidP="00A3505F">
                      <w:pPr>
                        <w:spacing w:line="240" w:lineRule="auto"/>
                        <w:jc w:val="center"/>
                        <w:rPr>
                          <w:color w:val="3B3838" w:themeColor="background2" w:themeShade="40"/>
                        </w:rPr>
                      </w:pPr>
                      <w:r>
                        <w:rPr>
                          <w:color w:val="3B3838" w:themeColor="background2" w:themeShade="40"/>
                        </w:rPr>
                        <w:t xml:space="preserve">+33(0)1 40 78 69 45 | </w:t>
                      </w:r>
                      <w:hyperlink r:id="rId21" w:history="1">
                        <w:r w:rsidRPr="003C6998">
                          <w:rPr>
                            <w:rStyle w:val="Lienhypertexte"/>
                          </w:rPr>
                          <w:t>www.cfhe.org</w:t>
                        </w:r>
                      </w:hyperlink>
                    </w:p>
                    <w:p w:rsidR="00767152" w:rsidRDefault="00767152" w:rsidP="00A3505F">
                      <w:pPr>
                        <w:spacing w:line="240" w:lineRule="auto"/>
                        <w:jc w:val="center"/>
                        <w:rPr>
                          <w:color w:val="3B3838" w:themeColor="background2" w:themeShade="40"/>
                        </w:rPr>
                      </w:pPr>
                    </w:p>
                    <w:p w:rsidR="00767152" w:rsidRPr="0091402E" w:rsidRDefault="00767152" w:rsidP="00A3505F">
                      <w:pPr>
                        <w:jc w:val="center"/>
                        <w:rPr>
                          <w:color w:val="000000" w:themeColor="text1"/>
                          <w:sz w:val="28"/>
                        </w:rPr>
                      </w:pPr>
                      <w:r w:rsidRPr="0091402E">
                        <w:rPr>
                          <w:noProof/>
                          <w:color w:val="000000" w:themeColor="text1"/>
                          <w:lang w:eastAsia="fr-FR"/>
                        </w:rPr>
                        <w:drawing>
                          <wp:inline distT="0" distB="0" distL="0" distR="0" wp14:anchorId="716522B5" wp14:editId="4FF16B58">
                            <wp:extent cx="251460" cy="251460"/>
                            <wp:effectExtent l="0" t="0" r="0" b="0"/>
                            <wp:docPr id="11" name="Image 1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pic:spPr>
                                </pic:pic>
                              </a:graphicData>
                            </a:graphic>
                          </wp:inline>
                        </w:drawing>
                      </w:r>
                      <w:r>
                        <w:rPr>
                          <w:noProof/>
                          <w:color w:val="000000" w:themeColor="text1"/>
                          <w:lang w:eastAsia="fr-FR"/>
                        </w:rPr>
                        <w:t xml:space="preserve">   </w:t>
                      </w:r>
                      <w:r w:rsidRPr="0091402E">
                        <w:rPr>
                          <w:noProof/>
                          <w:color w:val="000000" w:themeColor="text1"/>
                          <w:lang w:eastAsia="fr-FR"/>
                        </w:rPr>
                        <w:drawing>
                          <wp:inline distT="0" distB="0" distL="0" distR="0" wp14:anchorId="7BAFF6E4" wp14:editId="289F868F">
                            <wp:extent cx="251460" cy="25146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pic:spPr>
                                </pic:pic>
                              </a:graphicData>
                            </a:graphic>
                          </wp:inline>
                        </w:drawing>
                      </w:r>
                      <w:r>
                        <w:rPr>
                          <w:noProof/>
                          <w:color w:val="000000" w:themeColor="text1"/>
                          <w:lang w:eastAsia="fr-FR"/>
                        </w:rPr>
                        <w:t xml:space="preserve">  </w:t>
                      </w:r>
                      <w:r w:rsidRPr="0091402E">
                        <w:rPr>
                          <w:noProof/>
                          <w:color w:val="000000" w:themeColor="text1"/>
                          <w:lang w:eastAsia="fr-FR"/>
                        </w:rPr>
                        <w:drawing>
                          <wp:inline distT="0" distB="0" distL="0" distR="0" wp14:anchorId="0AF9EE00" wp14:editId="312C2581">
                            <wp:extent cx="309880" cy="251460"/>
                            <wp:effectExtent l="0" t="0" r="0" b="0"/>
                            <wp:docPr id="13" name="Image 13"/>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9880" cy="251460"/>
                                    </a:xfrm>
                                    <a:prstGeom prst="rect">
                                      <a:avLst/>
                                    </a:prstGeom>
                                    <a:noFill/>
                                  </pic:spPr>
                                </pic:pic>
                              </a:graphicData>
                            </a:graphic>
                          </wp:inline>
                        </w:drawing>
                      </w:r>
                      <w:r w:rsidRPr="0091402E">
                        <w:rPr>
                          <w:color w:val="000000" w:themeColor="text1"/>
                          <w:sz w:val="28"/>
                        </w:rPr>
                        <w:t>@cfhe_europe</w:t>
                      </w:r>
                    </w:p>
                    <w:p w:rsidR="00767152" w:rsidRDefault="00767152" w:rsidP="00A3505F">
                      <w:pPr>
                        <w:jc w:val="center"/>
                      </w:pPr>
                    </w:p>
                  </w:txbxContent>
                </v:textbox>
              </v:rect>
            </w:pict>
          </mc:Fallback>
        </mc:AlternateContent>
      </w:r>
      <w:r>
        <w:rPr>
          <w:noProof/>
          <w:lang w:val="en-GB" w:eastAsia="en-GB"/>
        </w:rPr>
        <mc:AlternateContent>
          <mc:Choice Requires="wps">
            <w:drawing>
              <wp:anchor distT="0" distB="0" distL="114300" distR="114300" simplePos="0" relativeHeight="251662336" behindDoc="1" locked="0" layoutInCell="1" allowOverlap="1" wp14:anchorId="23EC6CFA" wp14:editId="401D6D7D">
                <wp:simplePos x="0" y="0"/>
                <wp:positionH relativeFrom="column">
                  <wp:posOffset>-925902</wp:posOffset>
                </wp:positionH>
                <wp:positionV relativeFrom="paragraph">
                  <wp:posOffset>-888400</wp:posOffset>
                </wp:positionV>
                <wp:extent cx="12159615" cy="12882880"/>
                <wp:effectExtent l="0" t="0" r="13335" b="13970"/>
                <wp:wrapNone/>
                <wp:docPr id="1" name="Rectangle 1"/>
                <wp:cNvGraphicFramePr/>
                <a:graphic xmlns:a="http://schemas.openxmlformats.org/drawingml/2006/main">
                  <a:graphicData uri="http://schemas.microsoft.com/office/word/2010/wordprocessingShape">
                    <wps:wsp>
                      <wps:cNvSpPr/>
                      <wps:spPr>
                        <a:xfrm>
                          <a:off x="0" y="0"/>
                          <a:ext cx="12159615" cy="12882880"/>
                        </a:xfrm>
                        <a:prstGeom prst="rect">
                          <a:avLst/>
                        </a:prstGeom>
                        <a:solidFill>
                          <a:srgbClr val="25407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04A104" id="Rectangle 1" o:spid="_x0000_s1026" style="position:absolute;margin-left:-72.9pt;margin-top:-69.95pt;width:957.45pt;height:1014.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" fillcolor="#254071" strokecolor="#1f4d78 [1604]" strokeweight="1pt"/>
            </w:pict>
          </mc:Fallback>
        </mc:AlternateContent>
      </w:r>
    </w:p>
    <w:p w:rsidR="00A3505F" w:rsidRDefault="00A3505F" w:rsidP="00A3505F">
      <w:r>
        <w:rPr>
          <w:noProof/>
          <w:lang w:val="en-GB" w:eastAsia="en-GB"/>
        </w:rPr>
        <mc:AlternateContent>
          <mc:Choice Requires="wps">
            <w:drawing>
              <wp:anchor distT="0" distB="0" distL="114300" distR="114300" simplePos="0" relativeHeight="251661312" behindDoc="1" locked="0" layoutInCell="1" allowOverlap="1" wp14:anchorId="43FE36DE" wp14:editId="0A8BB00E">
                <wp:simplePos x="0" y="0"/>
                <wp:positionH relativeFrom="column">
                  <wp:posOffset>0</wp:posOffset>
                </wp:positionH>
                <wp:positionV relativeFrom="paragraph">
                  <wp:posOffset>0</wp:posOffset>
                </wp:positionV>
                <wp:extent cx="12159615" cy="12882880"/>
                <wp:effectExtent l="0" t="0" r="13335" b="13970"/>
                <wp:wrapNone/>
                <wp:docPr id="7" name="Rectangle 7"/>
                <wp:cNvGraphicFramePr/>
                <a:graphic xmlns:a="http://schemas.openxmlformats.org/drawingml/2006/main">
                  <a:graphicData uri="http://schemas.microsoft.com/office/word/2010/wordprocessingShape">
                    <wps:wsp>
                      <wps:cNvSpPr/>
                      <wps:spPr>
                        <a:xfrm>
                          <a:off x="0" y="0"/>
                          <a:ext cx="12159615" cy="12882880"/>
                        </a:xfrm>
                        <a:prstGeom prst="rect">
                          <a:avLst/>
                        </a:prstGeom>
                        <a:solidFill>
                          <a:srgbClr val="25407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7D71CC" id="Rectangle 7" o:spid="_x0000_s1026" style="position:absolute;margin-left:0;margin-top:0;width:957.45pt;height:101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" fillcolor="#254071" strokecolor="#1f4d78 [1604]" strokeweight="1pt"/>
            </w:pict>
          </mc:Fallback>
        </mc:AlternateContent>
      </w:r>
      <w:r>
        <w:rPr>
          <w:noProof/>
          <w:lang w:val="en-GB" w:eastAsia="en-GB"/>
        </w:rPr>
        <w:drawing>
          <wp:inline distT="0" distB="0" distL="0" distR="0" wp14:anchorId="2BEDAE8D" wp14:editId="584E2A2B">
            <wp:extent cx="4963160" cy="6191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63160" cy="619125"/>
                    </a:xfrm>
                    <a:prstGeom prst="rect">
                      <a:avLst/>
                    </a:prstGeom>
                    <a:noFill/>
                  </pic:spPr>
                </pic:pic>
              </a:graphicData>
            </a:graphic>
          </wp:inline>
        </w:drawing>
      </w:r>
    </w:p>
    <w:p w:rsidR="00A3505F" w:rsidRDefault="00A3505F" w:rsidP="00F85197">
      <w:pPr>
        <w:pStyle w:val="Heading1"/>
        <w:spacing w:before="0" w:after="20"/>
        <w:jc w:val="both"/>
      </w:pPr>
    </w:p>
    <w:bookmarkEnd w:id="79"/>
    <w:p w:rsidR="000543FB" w:rsidRDefault="000543FB" w:rsidP="00F85197">
      <w:pPr>
        <w:spacing w:after="20"/>
        <w:jc w:val="both"/>
      </w:pPr>
    </w:p>
    <w:sectPr w:rsidR="000543FB" w:rsidSect="00027EF9">
      <w:endnotePr>
        <w:numFmt w:val="decimal"/>
      </w:endnotePr>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8F4" w:rsidRDefault="008948F4" w:rsidP="00E14192">
      <w:pPr>
        <w:spacing w:line="240" w:lineRule="auto"/>
      </w:pPr>
      <w:r>
        <w:separator/>
      </w:r>
    </w:p>
  </w:endnote>
  <w:endnote w:type="continuationSeparator" w:id="0">
    <w:p w:rsidR="008948F4" w:rsidRDefault="008948F4" w:rsidP="00E14192">
      <w:pPr>
        <w:spacing w:line="240" w:lineRule="auto"/>
      </w:pPr>
      <w:r>
        <w:continuationSeparator/>
      </w:r>
    </w:p>
  </w:endnote>
  <w:endnote w:id="1">
    <w:p w:rsidR="00767152" w:rsidRDefault="00767152" w:rsidP="00145105">
      <w:pPr>
        <w:pStyle w:val="EndnoteText"/>
        <w:jc w:val="both"/>
        <w:rPr>
          <w:rFonts w:cstheme="minorHAnsi"/>
          <w:sz w:val="18"/>
          <w:szCs w:val="18"/>
        </w:rPr>
      </w:pPr>
    </w:p>
    <w:p w:rsidR="00767152" w:rsidRPr="00ED41C9" w:rsidRDefault="00767152" w:rsidP="00145105">
      <w:pPr>
        <w:pStyle w:val="EndnoteText"/>
        <w:jc w:val="both"/>
        <w:rPr>
          <w:rFonts w:cstheme="minorHAnsi"/>
          <w:sz w:val="18"/>
          <w:szCs w:val="18"/>
        </w:rPr>
      </w:pPr>
      <w:r w:rsidRPr="00ED41C9">
        <w:rPr>
          <w:rStyle w:val="EndnoteReference"/>
          <w:rFonts w:cstheme="minorHAnsi"/>
          <w:sz w:val="18"/>
          <w:szCs w:val="18"/>
        </w:rPr>
        <w:endnoteRef/>
      </w:r>
      <w:r w:rsidRPr="00ED41C9">
        <w:rPr>
          <w:rFonts w:cstheme="minorHAnsi"/>
          <w:sz w:val="18"/>
          <w:szCs w:val="18"/>
        </w:rPr>
        <w:t xml:space="preserve"> </w:t>
      </w:r>
      <w:r w:rsidRPr="00ED41C9">
        <w:rPr>
          <w:rStyle w:val="e24kjd"/>
          <w:rFonts w:cstheme="minorHAnsi"/>
          <w:sz w:val="18"/>
          <w:szCs w:val="18"/>
        </w:rPr>
        <w:t>L</w:t>
      </w:r>
      <w:r w:rsidRPr="00ED41C9">
        <w:rPr>
          <w:rStyle w:val="e24kjd"/>
          <w:rFonts w:cstheme="minorHAnsi"/>
          <w:bCs/>
          <w:sz w:val="18"/>
          <w:szCs w:val="18"/>
        </w:rPr>
        <w:t>oi</w:t>
      </w:r>
      <w:r w:rsidRPr="00ED41C9">
        <w:rPr>
          <w:rStyle w:val="e24kjd"/>
          <w:rFonts w:cstheme="minorHAnsi"/>
          <w:sz w:val="18"/>
          <w:szCs w:val="18"/>
        </w:rPr>
        <w:t xml:space="preserve"> n</w:t>
      </w:r>
      <w:r w:rsidRPr="00ED41C9">
        <w:rPr>
          <w:rStyle w:val="e24kjd"/>
          <w:rFonts w:cstheme="minorHAnsi"/>
          <w:sz w:val="18"/>
          <w:szCs w:val="18"/>
          <w:vertAlign w:val="superscript"/>
        </w:rPr>
        <w:t>o</w:t>
      </w:r>
      <w:r w:rsidRPr="00ED41C9">
        <w:rPr>
          <w:rStyle w:val="e24kjd"/>
          <w:rFonts w:cstheme="minorHAnsi"/>
          <w:sz w:val="18"/>
          <w:szCs w:val="18"/>
        </w:rPr>
        <w:t xml:space="preserve"> </w:t>
      </w:r>
      <w:r w:rsidRPr="00ED41C9">
        <w:rPr>
          <w:rStyle w:val="e24kjd"/>
          <w:rFonts w:cstheme="minorHAnsi"/>
          <w:bCs/>
          <w:sz w:val="18"/>
          <w:szCs w:val="18"/>
        </w:rPr>
        <w:t>2005</w:t>
      </w:r>
      <w:r w:rsidRPr="00ED41C9">
        <w:rPr>
          <w:rStyle w:val="e24kjd"/>
          <w:rFonts w:cstheme="minorHAnsi"/>
          <w:sz w:val="18"/>
          <w:szCs w:val="18"/>
        </w:rPr>
        <w:t xml:space="preserve">-102 du 11 février </w:t>
      </w:r>
      <w:r w:rsidRPr="00ED41C9">
        <w:rPr>
          <w:rStyle w:val="e24kjd"/>
          <w:rFonts w:cstheme="minorHAnsi"/>
          <w:bCs/>
          <w:sz w:val="18"/>
          <w:szCs w:val="18"/>
        </w:rPr>
        <w:t>2005 pour</w:t>
      </w:r>
      <w:r w:rsidRPr="00ED41C9">
        <w:rPr>
          <w:rStyle w:val="e24kjd"/>
          <w:rFonts w:cstheme="minorHAnsi"/>
          <w:sz w:val="18"/>
          <w:szCs w:val="18"/>
        </w:rPr>
        <w:t xml:space="preserve"> l'égalité des droits et des chances, la participation et la citoyenneté des personnes handicapées</w:t>
      </w:r>
    </w:p>
  </w:endnote>
  <w:endnote w:id="2">
    <w:p w:rsidR="00767152" w:rsidRPr="00ED41C9" w:rsidRDefault="00767152" w:rsidP="00145105">
      <w:pPr>
        <w:pStyle w:val="EndnoteText"/>
        <w:jc w:val="both"/>
        <w:rPr>
          <w:rFonts w:cstheme="minorHAnsi"/>
          <w:sz w:val="18"/>
          <w:szCs w:val="18"/>
        </w:rPr>
      </w:pPr>
      <w:r w:rsidRPr="00ED41C9">
        <w:rPr>
          <w:rStyle w:val="EndnoteReference"/>
          <w:rFonts w:cstheme="minorHAnsi"/>
          <w:sz w:val="18"/>
          <w:szCs w:val="18"/>
        </w:rPr>
        <w:endnoteRef/>
      </w:r>
      <w:r w:rsidRPr="00ED41C9">
        <w:rPr>
          <w:rFonts w:cstheme="minorHAnsi"/>
          <w:sz w:val="18"/>
          <w:szCs w:val="18"/>
        </w:rPr>
        <w:t xml:space="preserve"> </w:t>
      </w:r>
      <w:r w:rsidRPr="00ED41C9">
        <w:rPr>
          <w:rFonts w:cstheme="minorHAnsi"/>
          <w:color w:val="000000" w:themeColor="text1"/>
          <w:sz w:val="18"/>
          <w:szCs w:val="18"/>
        </w:rPr>
        <w:t>Loi n° 2018-1021 du 23 novembre 2018 portant évolution du logement, de l’aménagement et du numérique, dite loi « ELAN »</w:t>
      </w:r>
    </w:p>
  </w:endnote>
  <w:endnote w:id="3">
    <w:p w:rsidR="00767152" w:rsidRPr="00ED41C9" w:rsidRDefault="00767152" w:rsidP="00145105">
      <w:pPr>
        <w:pStyle w:val="EndnoteText"/>
        <w:jc w:val="both"/>
        <w:rPr>
          <w:rFonts w:cstheme="minorHAnsi"/>
          <w:sz w:val="18"/>
          <w:szCs w:val="18"/>
        </w:rPr>
      </w:pPr>
      <w:r w:rsidRPr="00ED41C9">
        <w:rPr>
          <w:rStyle w:val="EndnoteReference"/>
          <w:rFonts w:cstheme="minorHAnsi"/>
          <w:sz w:val="18"/>
          <w:szCs w:val="18"/>
        </w:rPr>
        <w:endnoteRef/>
      </w:r>
      <w:r w:rsidRPr="00ED41C9">
        <w:rPr>
          <w:rFonts w:cstheme="minorHAnsi"/>
          <w:sz w:val="18"/>
          <w:szCs w:val="18"/>
        </w:rPr>
        <w:t xml:space="preserve"> A</w:t>
      </w:r>
      <w:r w:rsidRPr="00ED41C9">
        <w:rPr>
          <w:rStyle w:val="st"/>
          <w:rFonts w:cstheme="minorHAnsi"/>
          <w:sz w:val="18"/>
          <w:szCs w:val="18"/>
        </w:rPr>
        <w:t>rticle 11 de la l</w:t>
      </w:r>
      <w:r w:rsidRPr="00ED41C9">
        <w:rPr>
          <w:rFonts w:cstheme="minorHAnsi"/>
          <w:color w:val="000000" w:themeColor="text1"/>
          <w:sz w:val="18"/>
          <w:szCs w:val="18"/>
        </w:rPr>
        <w:t>oi n° 2019-222 du 23 mars 2019 de programmation 2018-2022 et de réforme pour la justice</w:t>
      </w:r>
    </w:p>
  </w:endnote>
  <w:endnote w:id="4">
    <w:p w:rsidR="00767152" w:rsidRPr="00ED41C9" w:rsidRDefault="00767152" w:rsidP="00145105">
      <w:pPr>
        <w:pStyle w:val="EndnoteText"/>
        <w:jc w:val="both"/>
        <w:rPr>
          <w:rFonts w:cstheme="minorHAnsi"/>
          <w:color w:val="000000" w:themeColor="text1"/>
          <w:sz w:val="18"/>
          <w:szCs w:val="18"/>
        </w:rPr>
      </w:pPr>
      <w:r w:rsidRPr="00ED41C9">
        <w:rPr>
          <w:rStyle w:val="EndnoteReference"/>
          <w:rFonts w:cstheme="minorHAnsi"/>
          <w:color w:val="000000" w:themeColor="text1"/>
          <w:sz w:val="18"/>
          <w:szCs w:val="18"/>
        </w:rPr>
        <w:endnoteRef/>
      </w:r>
      <w:r w:rsidRPr="00ED41C9">
        <w:rPr>
          <w:rStyle w:val="Strong"/>
          <w:rFonts w:cstheme="minorHAnsi"/>
          <w:color w:val="000000" w:themeColor="text1"/>
          <w:sz w:val="18"/>
          <w:szCs w:val="18"/>
        </w:rPr>
        <w:t xml:space="preserve"> Circulaire</w:t>
      </w:r>
      <w:r w:rsidRPr="00ED41C9">
        <w:rPr>
          <w:rStyle w:val="Strong"/>
          <w:rFonts w:cstheme="minorHAnsi"/>
          <w:b w:val="0"/>
          <w:color w:val="000000" w:themeColor="text1"/>
          <w:sz w:val="18"/>
          <w:szCs w:val="18"/>
        </w:rPr>
        <w:t xml:space="preserve"> du 4 septembre 2012 relative à la prise en compte du handicap dans les projets de loi.</w:t>
      </w:r>
    </w:p>
  </w:endnote>
  <w:endnote w:id="5">
    <w:p w:rsidR="00767152" w:rsidRPr="00ED41C9" w:rsidRDefault="00767152" w:rsidP="00145105">
      <w:pPr>
        <w:pStyle w:val="EndnoteText"/>
        <w:jc w:val="both"/>
        <w:rPr>
          <w:rFonts w:cstheme="minorHAnsi"/>
          <w:color w:val="000000" w:themeColor="text1"/>
          <w:sz w:val="18"/>
          <w:szCs w:val="18"/>
        </w:rPr>
      </w:pPr>
      <w:r w:rsidRPr="00ED41C9">
        <w:rPr>
          <w:rStyle w:val="EndnoteReference"/>
          <w:rFonts w:cstheme="minorHAnsi"/>
          <w:color w:val="000000" w:themeColor="text1"/>
          <w:sz w:val="18"/>
          <w:szCs w:val="18"/>
        </w:rPr>
        <w:endnoteRef/>
      </w:r>
      <w:r w:rsidRPr="00ED41C9">
        <w:rPr>
          <w:rFonts w:cstheme="minorHAnsi"/>
          <w:color w:val="000000" w:themeColor="text1"/>
          <w:sz w:val="18"/>
          <w:szCs w:val="18"/>
        </w:rPr>
        <w:t xml:space="preserve"> </w:t>
      </w:r>
      <w:r w:rsidRPr="00ED41C9">
        <w:rPr>
          <w:rFonts w:cstheme="minorHAnsi"/>
          <w:sz w:val="18"/>
          <w:szCs w:val="18"/>
        </w:rPr>
        <w:t xml:space="preserve">Article L. 114 du Code de l’action sociale et des familles issu de la </w:t>
      </w:r>
      <w:r w:rsidRPr="00ED41C9">
        <w:rPr>
          <w:rFonts w:cstheme="minorHAnsi"/>
          <w:color w:val="000000" w:themeColor="text1"/>
          <w:sz w:val="18"/>
          <w:szCs w:val="18"/>
        </w:rPr>
        <w:t>loi n</w:t>
      </w:r>
      <w:r w:rsidRPr="00ED41C9">
        <w:rPr>
          <w:rStyle w:val="Strong"/>
          <w:rFonts w:cstheme="minorHAnsi"/>
          <w:b w:val="0"/>
          <w:color w:val="000000" w:themeColor="text1"/>
          <w:sz w:val="18"/>
          <w:szCs w:val="18"/>
        </w:rPr>
        <w:t>°2005-102 du 11 février 2005 pour l’égalité des droits et des chances, la participation et la citoyenneté des personnes handicapées</w:t>
      </w:r>
    </w:p>
  </w:endnote>
  <w:endnote w:id="6">
    <w:p w:rsidR="00767152" w:rsidRPr="00ED41C9" w:rsidRDefault="00767152" w:rsidP="00145105">
      <w:pPr>
        <w:pStyle w:val="EndnoteText"/>
        <w:jc w:val="both"/>
        <w:rPr>
          <w:rFonts w:cstheme="minorHAnsi"/>
          <w:color w:val="000000" w:themeColor="text1"/>
          <w:sz w:val="18"/>
          <w:szCs w:val="18"/>
        </w:rPr>
      </w:pPr>
      <w:r w:rsidRPr="00ED41C9">
        <w:rPr>
          <w:rStyle w:val="EndnoteReference"/>
          <w:rFonts w:cstheme="minorHAnsi"/>
          <w:color w:val="000000" w:themeColor="text1"/>
          <w:sz w:val="18"/>
          <w:szCs w:val="18"/>
        </w:rPr>
        <w:endnoteRef/>
      </w:r>
      <w:r w:rsidRPr="00ED41C9">
        <w:rPr>
          <w:rFonts w:cstheme="minorHAnsi"/>
          <w:color w:val="000000" w:themeColor="text1"/>
          <w:sz w:val="18"/>
          <w:szCs w:val="18"/>
        </w:rPr>
        <w:t xml:space="preserve"> </w:t>
      </w:r>
      <w:r w:rsidRPr="00ED41C9">
        <w:rPr>
          <w:rFonts w:cstheme="minorHAnsi"/>
          <w:sz w:val="18"/>
          <w:szCs w:val="18"/>
        </w:rPr>
        <w:t xml:space="preserve">Article L. 114 du Code de l’action sociale et des familles issu de la </w:t>
      </w:r>
      <w:r w:rsidRPr="00ED41C9">
        <w:rPr>
          <w:rFonts w:cstheme="minorHAnsi"/>
          <w:color w:val="000000" w:themeColor="text1"/>
          <w:sz w:val="18"/>
          <w:szCs w:val="18"/>
        </w:rPr>
        <w:t>loi n</w:t>
      </w:r>
      <w:r w:rsidRPr="00ED41C9">
        <w:rPr>
          <w:rStyle w:val="Strong"/>
          <w:rFonts w:cstheme="minorHAnsi"/>
          <w:b w:val="0"/>
          <w:color w:val="000000" w:themeColor="text1"/>
          <w:sz w:val="18"/>
          <w:szCs w:val="18"/>
        </w:rPr>
        <w:t>°2005-102 du 11 février 2005 pour l’égalité des droits et des chances, la participation et la citoyenneté des personnes handicapées</w:t>
      </w:r>
    </w:p>
  </w:endnote>
  <w:endnote w:id="7">
    <w:p w:rsidR="00767152" w:rsidRPr="00ED41C9" w:rsidRDefault="00767152" w:rsidP="00145105">
      <w:pPr>
        <w:pStyle w:val="EndnoteText"/>
        <w:jc w:val="both"/>
        <w:rPr>
          <w:rFonts w:cstheme="minorHAnsi"/>
          <w:sz w:val="18"/>
          <w:szCs w:val="18"/>
        </w:rPr>
      </w:pPr>
      <w:r w:rsidRPr="00ED41C9">
        <w:rPr>
          <w:rStyle w:val="EndnoteReference"/>
          <w:rFonts w:cstheme="minorHAnsi"/>
          <w:sz w:val="18"/>
          <w:szCs w:val="18"/>
        </w:rPr>
        <w:endnoteRef/>
      </w:r>
      <w:r w:rsidRPr="00ED41C9">
        <w:rPr>
          <w:rFonts w:cstheme="minorHAnsi"/>
          <w:sz w:val="18"/>
          <w:szCs w:val="18"/>
        </w:rPr>
        <w:t xml:space="preserve"> Guide Barème pour l’évaluation des déficiences et incapacités des personnes handicapées, Décret n°2007</w:t>
      </w:r>
      <w:r w:rsidRPr="00ED41C9">
        <w:rPr>
          <w:rFonts w:cstheme="minorHAnsi"/>
          <w:sz w:val="18"/>
          <w:szCs w:val="18"/>
        </w:rPr>
        <w:softHyphen/>
        <w:t xml:space="preserve">1574 du 6 novembre 2007. </w:t>
      </w:r>
    </w:p>
  </w:endnote>
  <w:endnote w:id="8">
    <w:p w:rsidR="00767152" w:rsidRPr="00ED41C9" w:rsidRDefault="00767152" w:rsidP="00145105">
      <w:pPr>
        <w:pStyle w:val="EndnoteText"/>
        <w:jc w:val="both"/>
        <w:rPr>
          <w:rFonts w:cstheme="minorHAnsi"/>
          <w:sz w:val="18"/>
          <w:szCs w:val="18"/>
        </w:rPr>
      </w:pPr>
      <w:r w:rsidRPr="00ED41C9">
        <w:rPr>
          <w:rStyle w:val="EndnoteReference"/>
          <w:rFonts w:cstheme="minorHAnsi"/>
          <w:sz w:val="18"/>
          <w:szCs w:val="18"/>
        </w:rPr>
        <w:endnoteRef/>
      </w:r>
      <w:r w:rsidRPr="00ED41C9">
        <w:rPr>
          <w:rFonts w:cstheme="minorHAnsi"/>
          <w:sz w:val="18"/>
          <w:szCs w:val="18"/>
        </w:rPr>
        <w:t xml:space="preserve"> Rapport annuel d’activité du Défenseur des droits, 2018 «</w:t>
      </w:r>
      <w:r w:rsidRPr="00ED41C9">
        <w:rPr>
          <w:rFonts w:cstheme="minorHAnsi"/>
          <w:i/>
          <w:sz w:val="18"/>
          <w:szCs w:val="18"/>
        </w:rPr>
        <w:t xml:space="preserve"> parmi les 5 631 saisines reçues, 22,8% concernent les personnes en situation de handicap </w:t>
      </w:r>
      <w:r w:rsidRPr="00ED41C9">
        <w:rPr>
          <w:rFonts w:cstheme="minorHAnsi"/>
          <w:sz w:val="18"/>
          <w:szCs w:val="18"/>
        </w:rPr>
        <w:t xml:space="preserve">» </w:t>
      </w:r>
      <w:hyperlink r:id="rId1" w:history="1">
        <w:r w:rsidRPr="00ED41C9">
          <w:rPr>
            <w:rStyle w:val="Hyperlink"/>
            <w:rFonts w:cstheme="minorHAnsi"/>
            <w:sz w:val="18"/>
            <w:szCs w:val="18"/>
          </w:rPr>
          <w:t>https://www.defenseurdesdroits.fr/fr/rapports-annuels/2019/03/rapport-annuel-dactivite-2018</w:t>
        </w:r>
      </w:hyperlink>
      <w:r w:rsidRPr="00ED41C9">
        <w:rPr>
          <w:rFonts w:cstheme="minorHAnsi"/>
          <w:sz w:val="18"/>
          <w:szCs w:val="18"/>
        </w:rPr>
        <w:t xml:space="preserve"> </w:t>
      </w:r>
    </w:p>
  </w:endnote>
  <w:endnote w:id="9">
    <w:p w:rsidR="00767152" w:rsidRPr="00ED41C9" w:rsidRDefault="00767152" w:rsidP="00145105">
      <w:pPr>
        <w:pStyle w:val="EndnoteText"/>
        <w:jc w:val="both"/>
        <w:rPr>
          <w:rFonts w:cstheme="minorHAnsi"/>
          <w:sz w:val="18"/>
          <w:szCs w:val="18"/>
        </w:rPr>
      </w:pPr>
      <w:r w:rsidRPr="00ED41C9">
        <w:rPr>
          <w:rStyle w:val="EndnoteReference"/>
          <w:rFonts w:cstheme="minorHAnsi"/>
          <w:sz w:val="18"/>
          <w:szCs w:val="18"/>
        </w:rPr>
        <w:endnoteRef/>
      </w:r>
      <w:r w:rsidRPr="00ED41C9">
        <w:rPr>
          <w:rFonts w:cstheme="minorHAnsi"/>
          <w:sz w:val="18"/>
          <w:szCs w:val="18"/>
        </w:rPr>
        <w:t xml:space="preserve"> </w:t>
      </w:r>
      <w:r w:rsidRPr="00ED41C9">
        <w:rPr>
          <w:rStyle w:val="Strong"/>
          <w:rFonts w:cstheme="minorHAnsi"/>
          <w:b w:val="0"/>
          <w:sz w:val="18"/>
          <w:szCs w:val="18"/>
        </w:rPr>
        <w:t>Loi n° 2016-1547 du 18 novembre 2016 de modernisation de la justice du XXIe siècle</w:t>
      </w:r>
    </w:p>
  </w:endnote>
  <w:endnote w:id="10">
    <w:p w:rsidR="00767152" w:rsidRPr="00ED41C9" w:rsidRDefault="00767152" w:rsidP="00145105">
      <w:pPr>
        <w:pStyle w:val="EndnoteText"/>
        <w:jc w:val="both"/>
        <w:rPr>
          <w:rFonts w:cstheme="minorHAnsi"/>
          <w:color w:val="000000" w:themeColor="text1"/>
          <w:sz w:val="18"/>
          <w:szCs w:val="18"/>
        </w:rPr>
      </w:pPr>
      <w:r w:rsidRPr="00ED41C9">
        <w:rPr>
          <w:rStyle w:val="EndnoteReference"/>
          <w:rFonts w:cstheme="minorHAnsi"/>
          <w:color w:val="000000" w:themeColor="text1"/>
          <w:sz w:val="18"/>
          <w:szCs w:val="18"/>
        </w:rPr>
        <w:endnoteRef/>
      </w:r>
      <w:r w:rsidRPr="00ED41C9">
        <w:rPr>
          <w:rFonts w:cstheme="minorHAnsi"/>
          <w:color w:val="000000" w:themeColor="text1"/>
          <w:sz w:val="18"/>
          <w:szCs w:val="18"/>
        </w:rPr>
        <w:t xml:space="preserve"> </w:t>
      </w:r>
      <w:r w:rsidRPr="00ED41C9">
        <w:rPr>
          <w:rFonts w:cstheme="minorHAnsi"/>
          <w:i/>
          <w:iCs/>
          <w:color w:val="000000" w:themeColor="text1"/>
          <w:sz w:val="18"/>
          <w:szCs w:val="18"/>
        </w:rPr>
        <w:t>Egalité et non-discrimination au regard de l’article 5 de la Convention relative aux droits des personnes handicapées</w:t>
      </w:r>
      <w:r w:rsidRPr="00ED41C9">
        <w:rPr>
          <w:rFonts w:cstheme="minorHAnsi"/>
          <w:color w:val="000000" w:themeColor="text1"/>
          <w:sz w:val="18"/>
          <w:szCs w:val="18"/>
        </w:rPr>
        <w:t xml:space="preserve">, Rapport du Haut-Commissariat des Nations unies aux droits de l’Homme, A/HRC/34/26, Nations unies, 9 décembre 2016.  </w:t>
      </w:r>
    </w:p>
  </w:endnote>
  <w:endnote w:id="11">
    <w:p w:rsidR="00767152" w:rsidRPr="00ED41C9" w:rsidRDefault="00767152" w:rsidP="00145105">
      <w:pPr>
        <w:pStyle w:val="EndnoteText"/>
        <w:jc w:val="both"/>
        <w:rPr>
          <w:rFonts w:cstheme="minorHAnsi"/>
          <w:sz w:val="18"/>
          <w:szCs w:val="18"/>
        </w:rPr>
      </w:pPr>
      <w:r w:rsidRPr="00ED41C9">
        <w:rPr>
          <w:rStyle w:val="EndnoteReference"/>
          <w:rFonts w:cstheme="minorHAnsi"/>
          <w:sz w:val="18"/>
          <w:szCs w:val="18"/>
        </w:rPr>
        <w:endnoteRef/>
      </w:r>
      <w:r w:rsidRPr="00ED41C9">
        <w:rPr>
          <w:rFonts w:cstheme="minorHAnsi"/>
          <w:sz w:val="18"/>
          <w:szCs w:val="18"/>
        </w:rPr>
        <w:t xml:space="preserve"> Articles 1 et 6 de la Déclaration des droits de l’Homme et du Citoyen de 1789 et article 1</w:t>
      </w:r>
      <w:r w:rsidRPr="00ED41C9">
        <w:rPr>
          <w:rFonts w:cstheme="minorHAnsi"/>
          <w:sz w:val="18"/>
          <w:szCs w:val="18"/>
          <w:vertAlign w:val="superscript"/>
        </w:rPr>
        <w:t>er</w:t>
      </w:r>
      <w:r w:rsidRPr="00ED41C9">
        <w:rPr>
          <w:rFonts w:cstheme="minorHAnsi"/>
          <w:sz w:val="18"/>
          <w:szCs w:val="18"/>
        </w:rPr>
        <w:t xml:space="preserve"> de la Constitution du 4 octobre 1958</w:t>
      </w:r>
    </w:p>
  </w:endnote>
  <w:endnote w:id="12">
    <w:p w:rsidR="00767152" w:rsidRPr="00ED41C9" w:rsidRDefault="00767152" w:rsidP="00145105">
      <w:pPr>
        <w:spacing w:line="240" w:lineRule="auto"/>
        <w:jc w:val="both"/>
        <w:rPr>
          <w:rStyle w:val="Strong"/>
          <w:rFonts w:cstheme="minorHAnsi"/>
          <w:b w:val="0"/>
          <w:color w:val="000000" w:themeColor="text1"/>
          <w:sz w:val="18"/>
          <w:szCs w:val="18"/>
        </w:rPr>
      </w:pPr>
      <w:r w:rsidRPr="00ED41C9">
        <w:rPr>
          <w:rStyle w:val="EndnoteReference"/>
          <w:rFonts w:cstheme="minorHAnsi"/>
          <w:sz w:val="18"/>
          <w:szCs w:val="18"/>
        </w:rPr>
        <w:endnoteRef/>
      </w:r>
      <w:r w:rsidRPr="00ED41C9">
        <w:rPr>
          <w:rFonts w:cstheme="minorHAnsi"/>
          <w:sz w:val="18"/>
          <w:szCs w:val="18"/>
        </w:rPr>
        <w:t xml:space="preserve"> </w:t>
      </w:r>
      <w:r w:rsidRPr="00ED41C9">
        <w:rPr>
          <w:rStyle w:val="Strong"/>
          <w:rFonts w:cstheme="minorHAnsi"/>
          <w:b w:val="0"/>
          <w:color w:val="000000" w:themeColor="text1"/>
          <w:sz w:val="18"/>
          <w:szCs w:val="18"/>
        </w:rPr>
        <w:t>Recommandation n°18 (1991) du Comité des Nations unies en charge du suivi de la Convention sur l'élimination de toutes les formes de discrimination à l’égard des femmes, ratifiée par la France en 1983, et en droit national l’article 44 de la Loi n°2014-873 du 4 août 2014 pour l’égalité réelle entre les femmes et les hommes.</w:t>
      </w:r>
    </w:p>
  </w:endnote>
  <w:endnote w:id="13">
    <w:p w:rsidR="00767152" w:rsidRPr="00ED41C9" w:rsidRDefault="00767152" w:rsidP="00145105">
      <w:pPr>
        <w:pStyle w:val="EndnoteText"/>
        <w:jc w:val="both"/>
        <w:rPr>
          <w:rFonts w:cstheme="minorHAnsi"/>
          <w:sz w:val="18"/>
          <w:szCs w:val="18"/>
        </w:rPr>
      </w:pPr>
      <w:r w:rsidRPr="00ED41C9">
        <w:rPr>
          <w:rStyle w:val="EndnoteReference"/>
          <w:rFonts w:cstheme="minorHAnsi"/>
          <w:sz w:val="18"/>
          <w:szCs w:val="18"/>
        </w:rPr>
        <w:endnoteRef/>
      </w:r>
      <w:r w:rsidRPr="00ED41C9">
        <w:rPr>
          <w:rFonts w:cstheme="minorHAnsi"/>
          <w:sz w:val="18"/>
          <w:szCs w:val="18"/>
        </w:rPr>
        <w:t xml:space="preserve"> Article 4 de la Déclaration des droits de l’Homme et de Citoyen de 1948</w:t>
      </w:r>
    </w:p>
  </w:endnote>
  <w:endnote w:id="14">
    <w:p w:rsidR="00767152" w:rsidRPr="00ED41C9" w:rsidRDefault="00767152" w:rsidP="00145105">
      <w:pPr>
        <w:jc w:val="both"/>
        <w:rPr>
          <w:rFonts w:cstheme="minorHAnsi"/>
          <w:sz w:val="18"/>
          <w:szCs w:val="18"/>
        </w:rPr>
      </w:pPr>
      <w:r w:rsidRPr="00ED41C9">
        <w:rPr>
          <w:rStyle w:val="EndnoteReference"/>
          <w:rFonts w:cstheme="minorHAnsi"/>
          <w:sz w:val="18"/>
          <w:szCs w:val="18"/>
        </w:rPr>
        <w:endnoteRef/>
      </w:r>
      <w:r w:rsidRPr="00ED41C9">
        <w:rPr>
          <w:rFonts w:cstheme="minorHAnsi"/>
          <w:sz w:val="18"/>
          <w:szCs w:val="18"/>
        </w:rPr>
        <w:t xml:space="preserve"> La Convention internationale des droits de l'enfant (CIDE), adoptée en 1989 </w:t>
      </w:r>
      <w:hyperlink r:id="rId2" w:history="1">
        <w:r w:rsidRPr="00ED41C9">
          <w:rPr>
            <w:rStyle w:val="Hyperlink"/>
            <w:rFonts w:cstheme="minorHAnsi"/>
            <w:sz w:val="18"/>
            <w:szCs w:val="18"/>
          </w:rPr>
          <w:t>https://www.unicef.fr/dossier/convention-internationale-des-droits-de-lenfant</w:t>
        </w:r>
      </w:hyperlink>
    </w:p>
  </w:endnote>
  <w:endnote w:id="15">
    <w:p w:rsidR="00767152" w:rsidRPr="00ED41C9" w:rsidRDefault="00767152" w:rsidP="00145105">
      <w:pPr>
        <w:pStyle w:val="EndnoteText"/>
        <w:jc w:val="both"/>
        <w:rPr>
          <w:rFonts w:cstheme="minorHAnsi"/>
          <w:sz w:val="18"/>
          <w:szCs w:val="18"/>
        </w:rPr>
      </w:pPr>
      <w:r w:rsidRPr="00ED41C9">
        <w:rPr>
          <w:rStyle w:val="EndnoteReference"/>
          <w:rFonts w:cstheme="minorHAnsi"/>
          <w:sz w:val="18"/>
          <w:szCs w:val="18"/>
        </w:rPr>
        <w:endnoteRef/>
      </w:r>
      <w:r w:rsidRPr="00ED41C9">
        <w:rPr>
          <w:rFonts w:cstheme="minorHAnsi"/>
          <w:sz w:val="18"/>
          <w:szCs w:val="18"/>
        </w:rPr>
        <w:t xml:space="preserve"> La stratégie nationale pour l'autisme au sein des troubles du neuro-développement (TND) 2018-2022 </w:t>
      </w:r>
    </w:p>
    <w:p w:rsidR="00767152" w:rsidRPr="00ED41C9" w:rsidRDefault="00C56C1C" w:rsidP="00145105">
      <w:pPr>
        <w:pStyle w:val="EndnoteText"/>
        <w:jc w:val="both"/>
        <w:rPr>
          <w:rFonts w:cstheme="minorHAnsi"/>
          <w:sz w:val="18"/>
          <w:szCs w:val="18"/>
        </w:rPr>
      </w:pPr>
      <w:hyperlink r:id="rId3" w:history="1">
        <w:r w:rsidR="00767152" w:rsidRPr="00ED41C9">
          <w:rPr>
            <w:rStyle w:val="Hyperlink"/>
            <w:rFonts w:cstheme="minorHAnsi"/>
            <w:sz w:val="18"/>
            <w:szCs w:val="18"/>
          </w:rPr>
          <w:t>https://handicap.gouv.fr/archives/ancienne-rub-autism/strategie-nationale-pour-l-autisme-2018-2022/</w:t>
        </w:r>
      </w:hyperlink>
      <w:r w:rsidR="00767152" w:rsidRPr="00ED41C9">
        <w:rPr>
          <w:rFonts w:cstheme="minorHAnsi"/>
          <w:sz w:val="18"/>
          <w:szCs w:val="18"/>
        </w:rPr>
        <w:t xml:space="preserve"> </w:t>
      </w:r>
    </w:p>
  </w:endnote>
  <w:endnote w:id="16">
    <w:p w:rsidR="00767152" w:rsidRPr="00ED41C9" w:rsidRDefault="00767152" w:rsidP="00145105">
      <w:pPr>
        <w:pStyle w:val="EndnoteText"/>
        <w:jc w:val="both"/>
        <w:rPr>
          <w:rFonts w:cstheme="minorHAnsi"/>
          <w:sz w:val="18"/>
          <w:szCs w:val="18"/>
        </w:rPr>
      </w:pPr>
      <w:r w:rsidRPr="00ED41C9">
        <w:rPr>
          <w:rStyle w:val="EndnoteReference"/>
          <w:rFonts w:cstheme="minorHAnsi"/>
          <w:sz w:val="18"/>
          <w:szCs w:val="18"/>
        </w:rPr>
        <w:endnoteRef/>
      </w:r>
      <w:r w:rsidRPr="00ED41C9">
        <w:rPr>
          <w:rFonts w:cstheme="minorHAnsi"/>
          <w:sz w:val="18"/>
          <w:szCs w:val="18"/>
        </w:rPr>
        <w:t xml:space="preserve"> Art 62 de la loi</w:t>
      </w:r>
      <w:r w:rsidRPr="00ED41C9">
        <w:rPr>
          <w:rFonts w:cstheme="minorHAnsi"/>
          <w:b/>
          <w:sz w:val="18"/>
          <w:szCs w:val="18"/>
        </w:rPr>
        <w:t xml:space="preserve"> </w:t>
      </w:r>
      <w:r w:rsidRPr="00ED41C9">
        <w:rPr>
          <w:rStyle w:val="Strong"/>
          <w:rFonts w:cstheme="minorHAnsi"/>
          <w:b w:val="0"/>
          <w:sz w:val="18"/>
          <w:szCs w:val="18"/>
        </w:rPr>
        <w:t>n° 2018-1203 du 22 décembre 2018 de financement de la sécurité sociale pour 2019</w:t>
      </w:r>
      <w:r w:rsidRPr="00ED41C9">
        <w:rPr>
          <w:rStyle w:val="Strong"/>
          <w:rFonts w:cstheme="minorHAnsi"/>
          <w:sz w:val="18"/>
          <w:szCs w:val="18"/>
        </w:rPr>
        <w:t xml:space="preserve"> </w:t>
      </w:r>
      <w:r w:rsidRPr="00ED41C9">
        <w:rPr>
          <w:rFonts w:cstheme="minorHAnsi"/>
          <w:sz w:val="18"/>
          <w:szCs w:val="18"/>
        </w:rPr>
        <w:t xml:space="preserve">qui prévoit un parcours d’intervention précoce pris en charge par la sécurité sociale, sans reste-à-charge pour les familles </w:t>
      </w:r>
    </w:p>
  </w:endnote>
  <w:endnote w:id="17">
    <w:p w:rsidR="00767152" w:rsidRPr="00236B37" w:rsidRDefault="00767152">
      <w:pPr>
        <w:pStyle w:val="EndnoteText"/>
        <w:rPr>
          <w:sz w:val="18"/>
          <w:szCs w:val="18"/>
        </w:rPr>
      </w:pPr>
      <w:r w:rsidRPr="00236B37">
        <w:rPr>
          <w:rStyle w:val="EndnoteReference"/>
          <w:sz w:val="18"/>
          <w:szCs w:val="18"/>
        </w:rPr>
        <w:endnoteRef/>
      </w:r>
      <w:r w:rsidRPr="00236B37">
        <w:rPr>
          <w:sz w:val="18"/>
          <w:szCs w:val="18"/>
        </w:rPr>
        <w:t xml:space="preserve"> Article 7.2 CIDPH et article 3.1 CIDE</w:t>
      </w:r>
    </w:p>
  </w:endnote>
  <w:endnote w:id="18">
    <w:p w:rsidR="00767152" w:rsidRDefault="00767152">
      <w:pPr>
        <w:pStyle w:val="EndnoteText"/>
      </w:pPr>
      <w:r w:rsidRPr="00236B37">
        <w:rPr>
          <w:rStyle w:val="EndnoteReference"/>
          <w:sz w:val="18"/>
          <w:szCs w:val="18"/>
        </w:rPr>
        <w:endnoteRef/>
      </w:r>
      <w:r w:rsidRPr="00236B37">
        <w:rPr>
          <w:sz w:val="18"/>
          <w:szCs w:val="18"/>
        </w:rPr>
        <w:t xml:space="preserve"> Article 7.3 CIDPH et article 12.1 CIDE</w:t>
      </w:r>
    </w:p>
  </w:endnote>
  <w:endnote w:id="19">
    <w:p w:rsidR="00767152" w:rsidRPr="00ED41C9" w:rsidRDefault="00767152" w:rsidP="00145105">
      <w:pPr>
        <w:pStyle w:val="EndnoteText"/>
        <w:jc w:val="both"/>
        <w:rPr>
          <w:rFonts w:cstheme="minorHAnsi"/>
          <w:sz w:val="18"/>
          <w:szCs w:val="18"/>
        </w:rPr>
      </w:pPr>
      <w:r w:rsidRPr="00ED41C9">
        <w:rPr>
          <w:rStyle w:val="EndnoteReference"/>
          <w:rFonts w:cstheme="minorHAnsi"/>
          <w:sz w:val="18"/>
          <w:szCs w:val="18"/>
        </w:rPr>
        <w:endnoteRef/>
      </w:r>
      <w:r w:rsidRPr="00ED41C9">
        <w:rPr>
          <w:rFonts w:cstheme="minorHAnsi"/>
          <w:sz w:val="18"/>
          <w:szCs w:val="18"/>
        </w:rPr>
        <w:t xml:space="preserve"> Article L311-5 du Code de l’action sociale et des familles </w:t>
      </w:r>
    </w:p>
  </w:endnote>
  <w:endnote w:id="20">
    <w:p w:rsidR="00767152" w:rsidRPr="00ED41C9" w:rsidRDefault="00767152" w:rsidP="00145105">
      <w:pPr>
        <w:pStyle w:val="EndnoteText"/>
        <w:jc w:val="both"/>
        <w:rPr>
          <w:rFonts w:cstheme="minorHAnsi"/>
          <w:color w:val="000000" w:themeColor="text1"/>
          <w:sz w:val="18"/>
          <w:szCs w:val="18"/>
        </w:rPr>
      </w:pPr>
      <w:r w:rsidRPr="00ED41C9">
        <w:rPr>
          <w:rStyle w:val="EndnoteReference"/>
          <w:rFonts w:cstheme="minorHAnsi"/>
          <w:color w:val="000000" w:themeColor="text1"/>
          <w:sz w:val="18"/>
          <w:szCs w:val="18"/>
        </w:rPr>
        <w:endnoteRef/>
      </w:r>
      <w:r w:rsidRPr="00ED41C9">
        <w:rPr>
          <w:rFonts w:cstheme="minorHAnsi"/>
          <w:color w:val="000000" w:themeColor="text1"/>
          <w:sz w:val="18"/>
          <w:szCs w:val="18"/>
        </w:rPr>
        <w:t xml:space="preserve"> Rapport de la Mission Nationale Accueils de Loisirs et Handicap, « </w:t>
      </w:r>
      <w:r w:rsidRPr="00ED41C9">
        <w:rPr>
          <w:rFonts w:cstheme="minorHAnsi"/>
          <w:i/>
          <w:color w:val="000000" w:themeColor="text1"/>
          <w:sz w:val="18"/>
          <w:szCs w:val="18"/>
        </w:rPr>
        <w:t>Un droit pour tous, une place pour chacun !</w:t>
      </w:r>
      <w:r w:rsidRPr="00ED41C9">
        <w:rPr>
          <w:rFonts w:cstheme="minorHAnsi"/>
          <w:color w:val="000000" w:themeColor="text1"/>
          <w:sz w:val="18"/>
          <w:szCs w:val="18"/>
        </w:rPr>
        <w:t xml:space="preserve"> », décembre 2018 </w:t>
      </w:r>
    </w:p>
  </w:endnote>
  <w:endnote w:id="21">
    <w:p w:rsidR="00767152" w:rsidRPr="00ED41C9" w:rsidRDefault="00767152" w:rsidP="00145105">
      <w:pPr>
        <w:jc w:val="both"/>
        <w:rPr>
          <w:rFonts w:cstheme="minorHAnsi"/>
          <w:sz w:val="18"/>
          <w:szCs w:val="18"/>
        </w:rPr>
      </w:pPr>
      <w:r w:rsidRPr="00ED41C9">
        <w:rPr>
          <w:rFonts w:cstheme="minorHAnsi"/>
          <w:color w:val="000000" w:themeColor="text1"/>
          <w:sz w:val="18"/>
          <w:szCs w:val="18"/>
          <w:vertAlign w:val="superscript"/>
          <w:lang w:eastAsia="en-GB"/>
        </w:rPr>
        <w:endnoteRef/>
      </w:r>
      <w:r w:rsidRPr="00ED41C9">
        <w:rPr>
          <w:rFonts w:cstheme="minorHAnsi"/>
          <w:color w:val="000000" w:themeColor="text1"/>
          <w:sz w:val="18"/>
          <w:szCs w:val="18"/>
          <w:vertAlign w:val="superscript"/>
          <w:lang w:eastAsia="en-GB"/>
        </w:rPr>
        <w:t xml:space="preserve"> </w:t>
      </w:r>
      <w:r w:rsidRPr="00ED41C9">
        <w:rPr>
          <w:rFonts w:cstheme="minorHAnsi"/>
          <w:color w:val="000000" w:themeColor="text1"/>
          <w:sz w:val="18"/>
          <w:szCs w:val="18"/>
          <w:lang w:eastAsia="en-GB"/>
        </w:rPr>
        <w:t xml:space="preserve">Observation générale no 14 (2013) sur le droit de l’enfant à ce que son intérêt supérieur soit une considération primordiale (art. 3, par. 1) </w:t>
      </w:r>
      <w:hyperlink r:id="rId4" w:history="1">
        <w:r w:rsidRPr="00ED41C9">
          <w:rPr>
            <w:rStyle w:val="Hyperlink"/>
            <w:rFonts w:cstheme="minorHAnsi"/>
            <w:sz w:val="18"/>
            <w:szCs w:val="18"/>
          </w:rPr>
          <w:t>http://www2.ohchr.org/English/bodies/crc/docs/GC/CRC_C_GC_14_ENG.pdf</w:t>
        </w:r>
      </w:hyperlink>
      <w:r w:rsidRPr="00ED41C9">
        <w:rPr>
          <w:rFonts w:cstheme="minorHAnsi"/>
          <w:sz w:val="18"/>
          <w:szCs w:val="18"/>
        </w:rPr>
        <w:t xml:space="preserve"> </w:t>
      </w:r>
    </w:p>
  </w:endnote>
  <w:endnote w:id="22">
    <w:p w:rsidR="00767152" w:rsidRPr="00ED41C9" w:rsidRDefault="00767152" w:rsidP="00145105">
      <w:pPr>
        <w:autoSpaceDE w:val="0"/>
        <w:autoSpaceDN w:val="0"/>
        <w:adjustRightInd w:val="0"/>
        <w:spacing w:line="240" w:lineRule="auto"/>
        <w:jc w:val="both"/>
        <w:rPr>
          <w:rFonts w:cstheme="minorHAnsi"/>
          <w:color w:val="000000" w:themeColor="text1"/>
          <w:sz w:val="18"/>
          <w:szCs w:val="18"/>
        </w:rPr>
      </w:pPr>
      <w:r w:rsidRPr="00ED41C9">
        <w:rPr>
          <w:rStyle w:val="EndnoteReference"/>
          <w:rFonts w:cstheme="minorHAnsi"/>
          <w:color w:val="000000" w:themeColor="text1"/>
          <w:sz w:val="18"/>
          <w:szCs w:val="18"/>
        </w:rPr>
        <w:endnoteRef/>
      </w:r>
      <w:r w:rsidRPr="00ED41C9">
        <w:rPr>
          <w:rFonts w:cstheme="minorHAnsi"/>
          <w:color w:val="000000" w:themeColor="text1"/>
          <w:sz w:val="18"/>
          <w:szCs w:val="18"/>
        </w:rPr>
        <w:t xml:space="preserve"> Baromètre de la diversité de la société française, Conseil Supérieur de l’Audiovisuel (CSA), décembre 2018</w:t>
      </w:r>
    </w:p>
  </w:endnote>
  <w:endnote w:id="23">
    <w:p w:rsidR="00767152" w:rsidRPr="00ED41C9" w:rsidRDefault="00767152" w:rsidP="00145105">
      <w:pPr>
        <w:pStyle w:val="EndnoteText"/>
        <w:jc w:val="both"/>
        <w:rPr>
          <w:rFonts w:cstheme="minorHAnsi"/>
          <w:b/>
          <w:sz w:val="18"/>
          <w:szCs w:val="18"/>
        </w:rPr>
      </w:pPr>
      <w:r w:rsidRPr="00ED41C9">
        <w:rPr>
          <w:rStyle w:val="EndnoteReference"/>
          <w:rFonts w:cstheme="minorHAnsi"/>
          <w:sz w:val="18"/>
          <w:szCs w:val="18"/>
        </w:rPr>
        <w:endnoteRef/>
      </w:r>
      <w:r w:rsidRPr="00ED41C9">
        <w:rPr>
          <w:rFonts w:cstheme="minorHAnsi"/>
          <w:b/>
          <w:sz w:val="18"/>
          <w:szCs w:val="18"/>
        </w:rPr>
        <w:t xml:space="preserve"> </w:t>
      </w:r>
      <w:r w:rsidRPr="00ED41C9">
        <w:rPr>
          <w:rStyle w:val="Strong"/>
          <w:rFonts w:cstheme="minorHAnsi"/>
          <w:b w:val="0"/>
          <w:sz w:val="18"/>
          <w:szCs w:val="18"/>
        </w:rPr>
        <w:t>Loi n° 2014-789 du 10 juillet 2014 habilitant le Gouvernement à adopter des mesures législatives pour la mise en accessibilité des établissements recevant du public, des transports publics, des bâtiments d'habitation et de la voirie pour les personnes handicapées (1)</w:t>
      </w:r>
    </w:p>
  </w:endnote>
  <w:endnote w:id="24">
    <w:p w:rsidR="00767152" w:rsidRPr="00ED41C9" w:rsidRDefault="00767152" w:rsidP="00145105">
      <w:pPr>
        <w:pStyle w:val="EndnoteText"/>
        <w:jc w:val="both"/>
        <w:rPr>
          <w:rFonts w:cstheme="minorHAnsi"/>
          <w:color w:val="000000" w:themeColor="text1"/>
          <w:sz w:val="18"/>
          <w:szCs w:val="18"/>
        </w:rPr>
      </w:pPr>
      <w:r w:rsidRPr="00ED41C9">
        <w:rPr>
          <w:rStyle w:val="EndnoteReference"/>
          <w:rFonts w:cstheme="minorHAnsi"/>
          <w:color w:val="000000" w:themeColor="text1"/>
          <w:sz w:val="18"/>
          <w:szCs w:val="18"/>
        </w:rPr>
        <w:endnoteRef/>
      </w:r>
      <w:r w:rsidRPr="00ED41C9">
        <w:rPr>
          <w:rFonts w:cstheme="minorHAnsi"/>
          <w:color w:val="000000" w:themeColor="text1"/>
          <w:sz w:val="18"/>
          <w:szCs w:val="18"/>
        </w:rPr>
        <w:t xml:space="preserve"> </w:t>
      </w:r>
      <w:r w:rsidRPr="00ED41C9">
        <w:rPr>
          <w:rFonts w:cstheme="minorHAnsi"/>
          <w:color w:val="000000" w:themeColor="text1"/>
          <w:sz w:val="18"/>
          <w:szCs w:val="18"/>
          <w:lang w:eastAsia="en-GB"/>
        </w:rPr>
        <w:t>Le Conseil d’Etat a dû intervenir en 2009 (</w:t>
      </w:r>
      <w:r w:rsidRPr="00ED41C9">
        <w:rPr>
          <w:rFonts w:cstheme="minorHAnsi"/>
          <w:color w:val="000000" w:themeColor="text1"/>
          <w:sz w:val="18"/>
          <w:szCs w:val="18"/>
        </w:rPr>
        <w:t>Conseil d'État, 21/07/2009, n°295382)</w:t>
      </w:r>
      <w:r w:rsidRPr="00ED41C9">
        <w:rPr>
          <w:rFonts w:cstheme="minorHAnsi"/>
          <w:color w:val="000000" w:themeColor="text1"/>
          <w:sz w:val="18"/>
          <w:szCs w:val="18"/>
          <w:lang w:eastAsia="en-GB"/>
        </w:rPr>
        <w:t xml:space="preserve"> pour supprimer certaines dérogations au principe d’accessibilité pour les établissements recevant du public neufs (</w:t>
      </w:r>
      <w:r w:rsidRPr="00ED41C9">
        <w:rPr>
          <w:rFonts w:cstheme="minorHAnsi"/>
          <w:color w:val="000000" w:themeColor="text1"/>
          <w:sz w:val="18"/>
          <w:szCs w:val="18"/>
        </w:rPr>
        <w:t>décret n° 2006-555 du 17 mai 2006)</w:t>
      </w:r>
      <w:r w:rsidRPr="00ED41C9">
        <w:rPr>
          <w:rFonts w:cstheme="minorHAnsi"/>
          <w:color w:val="000000" w:themeColor="text1"/>
          <w:sz w:val="18"/>
          <w:szCs w:val="18"/>
          <w:lang w:eastAsia="en-GB"/>
        </w:rPr>
        <w:t>, et en 2011 le Conseil Constitutionnel (</w:t>
      </w:r>
      <w:r w:rsidRPr="00ED41C9">
        <w:rPr>
          <w:rFonts w:cstheme="minorHAnsi"/>
          <w:color w:val="000000" w:themeColor="text1"/>
          <w:sz w:val="18"/>
          <w:szCs w:val="18"/>
          <w:lang w:eastAsia="fr-FR"/>
        </w:rPr>
        <w:t>Conseil constitutionnel, 28/07/2011, n°2011-639)</w:t>
      </w:r>
      <w:r w:rsidRPr="00ED41C9">
        <w:rPr>
          <w:rFonts w:cstheme="minorHAnsi"/>
          <w:color w:val="000000" w:themeColor="text1"/>
          <w:sz w:val="18"/>
          <w:szCs w:val="18"/>
          <w:lang w:eastAsia="en-GB"/>
        </w:rPr>
        <w:t>, a censuré certaines dispositions de la loi qui contrevenaient également au principe d’accessibilité (</w:t>
      </w:r>
      <w:r w:rsidRPr="00ED41C9">
        <w:rPr>
          <w:rFonts w:cstheme="minorHAnsi"/>
          <w:color w:val="000000" w:themeColor="text1"/>
          <w:sz w:val="18"/>
          <w:szCs w:val="18"/>
          <w:lang w:eastAsia="fr-FR"/>
        </w:rPr>
        <w:t>loi n° 2011-901 du 28 juillet 2011)</w:t>
      </w:r>
    </w:p>
  </w:endnote>
  <w:endnote w:id="25">
    <w:p w:rsidR="00767152" w:rsidRPr="00ED41C9" w:rsidRDefault="00767152" w:rsidP="00145105">
      <w:pPr>
        <w:spacing w:line="240" w:lineRule="auto"/>
        <w:jc w:val="both"/>
        <w:rPr>
          <w:rFonts w:cstheme="minorHAnsi"/>
          <w:color w:val="000000" w:themeColor="text1"/>
          <w:sz w:val="18"/>
          <w:szCs w:val="18"/>
          <w:lang w:eastAsia="en-GB"/>
        </w:rPr>
      </w:pPr>
      <w:r w:rsidRPr="00ED41C9">
        <w:rPr>
          <w:rStyle w:val="EndnoteReference"/>
          <w:rFonts w:cstheme="minorHAnsi"/>
          <w:color w:val="000000" w:themeColor="text1"/>
          <w:sz w:val="18"/>
          <w:szCs w:val="18"/>
        </w:rPr>
        <w:endnoteRef/>
      </w:r>
      <w:r w:rsidRPr="00ED41C9">
        <w:rPr>
          <w:rFonts w:cstheme="minorHAnsi"/>
          <w:color w:val="000000" w:themeColor="text1"/>
          <w:sz w:val="18"/>
          <w:szCs w:val="18"/>
        </w:rPr>
        <w:t xml:space="preserve"> Loi n° 2018-1021 du 23 novembre 2018 portant évolution du logement, de l’aménagement et du numérique, dite loi « ELAN »</w:t>
      </w:r>
    </w:p>
  </w:endnote>
  <w:endnote w:id="26">
    <w:p w:rsidR="00767152" w:rsidRPr="00ED41C9" w:rsidRDefault="00767152" w:rsidP="00145105">
      <w:pPr>
        <w:pStyle w:val="EndnoteText"/>
        <w:jc w:val="both"/>
        <w:rPr>
          <w:rFonts w:cstheme="minorHAnsi"/>
          <w:color w:val="000000" w:themeColor="text1"/>
          <w:sz w:val="18"/>
          <w:szCs w:val="18"/>
          <w:lang w:eastAsia="fr-FR"/>
        </w:rPr>
      </w:pPr>
      <w:r w:rsidRPr="00ED41C9">
        <w:rPr>
          <w:rFonts w:cstheme="minorHAnsi"/>
          <w:color w:val="000000" w:themeColor="text1"/>
          <w:sz w:val="18"/>
          <w:szCs w:val="18"/>
          <w:vertAlign w:val="superscript"/>
          <w:lang w:eastAsia="fr-FR"/>
        </w:rPr>
        <w:endnoteRef/>
      </w:r>
      <w:r w:rsidRPr="00ED41C9">
        <w:rPr>
          <w:rFonts w:cstheme="minorHAnsi"/>
          <w:color w:val="000000" w:themeColor="text1"/>
          <w:sz w:val="18"/>
          <w:szCs w:val="18"/>
          <w:lang w:eastAsia="fr-FR"/>
        </w:rPr>
        <w:t xml:space="preserve"> Directive 2016/2102 relative à l’accessibilité des sites internet et des applications mobiles des organismes du secteur public</w:t>
      </w:r>
    </w:p>
  </w:endnote>
  <w:endnote w:id="27">
    <w:p w:rsidR="00767152" w:rsidRPr="00ED41C9" w:rsidRDefault="00767152" w:rsidP="00145105">
      <w:pPr>
        <w:pStyle w:val="EndnoteText"/>
        <w:jc w:val="both"/>
        <w:rPr>
          <w:rFonts w:cstheme="minorHAnsi"/>
          <w:sz w:val="18"/>
          <w:szCs w:val="18"/>
        </w:rPr>
      </w:pPr>
      <w:r w:rsidRPr="00ED41C9">
        <w:rPr>
          <w:rStyle w:val="EndnoteReference"/>
          <w:rFonts w:cstheme="minorHAnsi"/>
          <w:sz w:val="18"/>
          <w:szCs w:val="18"/>
        </w:rPr>
        <w:endnoteRef/>
      </w:r>
      <w:r w:rsidRPr="00ED41C9">
        <w:rPr>
          <w:rFonts w:cstheme="minorHAnsi"/>
          <w:sz w:val="18"/>
          <w:szCs w:val="18"/>
        </w:rPr>
        <w:t xml:space="preserve"> Anne Caron Déglise, Rapport de mission interministérielle, L’évolution de la protection juridique des personnes – reconnaître, soutenir et protéger les personnes les plus vulnérables, 2018 </w:t>
      </w:r>
    </w:p>
    <w:p w:rsidR="00767152" w:rsidRPr="00ED41C9" w:rsidRDefault="00C56C1C" w:rsidP="00145105">
      <w:pPr>
        <w:pStyle w:val="EndnoteText"/>
        <w:jc w:val="both"/>
        <w:rPr>
          <w:rFonts w:cstheme="minorHAnsi"/>
          <w:sz w:val="18"/>
          <w:szCs w:val="18"/>
        </w:rPr>
      </w:pPr>
      <w:hyperlink r:id="rId5" w:history="1">
        <w:r w:rsidR="00767152" w:rsidRPr="00ED41C9">
          <w:rPr>
            <w:rStyle w:val="Hyperlink"/>
            <w:rFonts w:cstheme="minorHAnsi"/>
            <w:sz w:val="18"/>
            <w:szCs w:val="18"/>
          </w:rPr>
          <w:t>http://www.justice.gouv.fr/la-garde-des-sceaux-10016/rapport-sur-levolution-de-la-protection-juridique-des-personnes-31802.html</w:t>
        </w:r>
      </w:hyperlink>
      <w:r w:rsidR="00767152" w:rsidRPr="00ED41C9">
        <w:rPr>
          <w:rFonts w:cstheme="minorHAnsi"/>
          <w:sz w:val="18"/>
          <w:szCs w:val="18"/>
        </w:rPr>
        <w:t xml:space="preserve"> </w:t>
      </w:r>
    </w:p>
  </w:endnote>
  <w:endnote w:id="28">
    <w:p w:rsidR="00767152" w:rsidRPr="00ED41C9" w:rsidRDefault="00767152" w:rsidP="00145105">
      <w:pPr>
        <w:pStyle w:val="EndnoteText"/>
        <w:jc w:val="both"/>
        <w:rPr>
          <w:rFonts w:cstheme="minorHAnsi"/>
          <w:color w:val="000000" w:themeColor="text1"/>
          <w:sz w:val="18"/>
          <w:szCs w:val="18"/>
        </w:rPr>
      </w:pPr>
      <w:r w:rsidRPr="00ED41C9">
        <w:rPr>
          <w:rStyle w:val="EndnoteReference"/>
          <w:rFonts w:cstheme="minorHAnsi"/>
          <w:color w:val="000000" w:themeColor="text1"/>
          <w:sz w:val="18"/>
          <w:szCs w:val="18"/>
        </w:rPr>
        <w:endnoteRef/>
      </w:r>
      <w:r w:rsidRPr="00ED41C9">
        <w:rPr>
          <w:rFonts w:cstheme="minorHAnsi"/>
          <w:color w:val="000000" w:themeColor="text1"/>
          <w:sz w:val="18"/>
          <w:szCs w:val="18"/>
        </w:rPr>
        <w:t xml:space="preserve"> Loi n°2007-308 du 5 mars 2007 </w:t>
      </w:r>
      <w:r w:rsidRPr="00ED41C9">
        <w:rPr>
          <w:rStyle w:val="Strong"/>
          <w:rFonts w:cstheme="minorHAnsi"/>
          <w:b w:val="0"/>
          <w:color w:val="000000" w:themeColor="text1"/>
          <w:sz w:val="18"/>
          <w:szCs w:val="18"/>
        </w:rPr>
        <w:t>portant réforme de la protection juridique des majeurs</w:t>
      </w:r>
    </w:p>
  </w:endnote>
  <w:endnote w:id="29">
    <w:p w:rsidR="00767152" w:rsidRPr="00ED41C9" w:rsidRDefault="00767152" w:rsidP="00145105">
      <w:pPr>
        <w:pStyle w:val="EndnoteText"/>
        <w:jc w:val="both"/>
        <w:rPr>
          <w:rFonts w:cstheme="minorHAnsi"/>
          <w:color w:val="000000" w:themeColor="text1"/>
          <w:sz w:val="18"/>
          <w:szCs w:val="18"/>
        </w:rPr>
      </w:pPr>
      <w:r w:rsidRPr="00ED41C9">
        <w:rPr>
          <w:rStyle w:val="EndnoteReference"/>
          <w:rFonts w:cstheme="minorHAnsi"/>
          <w:color w:val="000000" w:themeColor="text1"/>
          <w:sz w:val="18"/>
          <w:szCs w:val="18"/>
        </w:rPr>
        <w:endnoteRef/>
      </w:r>
      <w:r w:rsidRPr="00ED41C9">
        <w:rPr>
          <w:rFonts w:cstheme="minorHAnsi"/>
          <w:color w:val="000000" w:themeColor="text1"/>
          <w:sz w:val="18"/>
          <w:szCs w:val="18"/>
        </w:rPr>
        <w:t xml:space="preserve"> Loi n° 2019-222 du 23 mars 2019 de programmation 2018-2022 et de réforme pour la justice</w:t>
      </w:r>
    </w:p>
  </w:endnote>
  <w:endnote w:id="30">
    <w:p w:rsidR="00767152" w:rsidRPr="00ED41C9" w:rsidRDefault="00767152" w:rsidP="00145105">
      <w:pPr>
        <w:pStyle w:val="EndnoteText"/>
        <w:jc w:val="both"/>
        <w:rPr>
          <w:rFonts w:cstheme="minorHAnsi"/>
          <w:sz w:val="18"/>
          <w:szCs w:val="18"/>
        </w:rPr>
      </w:pPr>
      <w:r w:rsidRPr="00ED41C9">
        <w:rPr>
          <w:rStyle w:val="EndnoteReference"/>
          <w:rFonts w:cstheme="minorHAnsi"/>
          <w:sz w:val="18"/>
          <w:szCs w:val="18"/>
        </w:rPr>
        <w:endnoteRef/>
      </w:r>
      <w:r w:rsidRPr="00ED41C9">
        <w:rPr>
          <w:rFonts w:cstheme="minorHAnsi"/>
          <w:sz w:val="18"/>
          <w:szCs w:val="18"/>
        </w:rPr>
        <w:t xml:space="preserve"> Article 425 du code civil</w:t>
      </w:r>
    </w:p>
  </w:endnote>
  <w:endnote w:id="31">
    <w:p w:rsidR="00767152" w:rsidRPr="00ED41C9" w:rsidRDefault="00767152" w:rsidP="00145105">
      <w:pPr>
        <w:pStyle w:val="EndnoteText"/>
        <w:jc w:val="both"/>
        <w:rPr>
          <w:rFonts w:cstheme="minorHAnsi"/>
          <w:sz w:val="18"/>
          <w:szCs w:val="18"/>
        </w:rPr>
      </w:pPr>
      <w:r w:rsidRPr="00ED41C9">
        <w:rPr>
          <w:rStyle w:val="EndnoteReference"/>
          <w:rFonts w:cstheme="minorHAnsi"/>
          <w:sz w:val="18"/>
          <w:szCs w:val="18"/>
        </w:rPr>
        <w:endnoteRef/>
      </w:r>
      <w:r w:rsidRPr="00ED41C9">
        <w:rPr>
          <w:rFonts w:cstheme="minorHAnsi"/>
          <w:sz w:val="18"/>
          <w:szCs w:val="18"/>
        </w:rPr>
        <w:t xml:space="preserve"> Article 459 du code civil</w:t>
      </w:r>
    </w:p>
  </w:endnote>
  <w:endnote w:id="32">
    <w:p w:rsidR="00767152" w:rsidRPr="00ED41C9" w:rsidRDefault="00767152" w:rsidP="00145105">
      <w:pPr>
        <w:pStyle w:val="EndnoteText"/>
        <w:jc w:val="both"/>
        <w:rPr>
          <w:rFonts w:cstheme="minorHAnsi"/>
          <w:sz w:val="18"/>
          <w:szCs w:val="18"/>
        </w:rPr>
      </w:pPr>
      <w:r w:rsidRPr="00ED41C9">
        <w:rPr>
          <w:rStyle w:val="EndnoteReference"/>
          <w:rFonts w:cstheme="minorHAnsi"/>
          <w:sz w:val="18"/>
          <w:szCs w:val="18"/>
        </w:rPr>
        <w:endnoteRef/>
      </w:r>
      <w:r w:rsidRPr="00ED41C9">
        <w:rPr>
          <w:rFonts w:cstheme="minorHAnsi"/>
          <w:sz w:val="18"/>
          <w:szCs w:val="18"/>
        </w:rPr>
        <w:t xml:space="preserve"> Cf. le </w:t>
      </w:r>
      <w:r w:rsidRPr="00ED41C9">
        <w:rPr>
          <w:rFonts w:cstheme="minorHAnsi"/>
          <w:i/>
          <w:sz w:val="18"/>
          <w:szCs w:val="18"/>
        </w:rPr>
        <w:t xml:space="preserve">Mental Capacity Act  </w:t>
      </w:r>
      <w:r w:rsidRPr="00ED41C9">
        <w:rPr>
          <w:rFonts w:cstheme="minorHAnsi"/>
          <w:sz w:val="18"/>
          <w:szCs w:val="18"/>
        </w:rPr>
        <w:t>de</w:t>
      </w:r>
      <w:r w:rsidRPr="00ED41C9">
        <w:rPr>
          <w:rFonts w:cstheme="minorHAnsi"/>
          <w:i/>
          <w:sz w:val="18"/>
          <w:szCs w:val="18"/>
        </w:rPr>
        <w:t xml:space="preserve"> </w:t>
      </w:r>
      <w:r w:rsidRPr="00ED41C9">
        <w:rPr>
          <w:rFonts w:cstheme="minorHAnsi"/>
          <w:sz w:val="18"/>
          <w:szCs w:val="18"/>
        </w:rPr>
        <w:t xml:space="preserve">2005 au Royaume-Uni </w:t>
      </w:r>
      <w:hyperlink r:id="rId6" w:history="1">
        <w:r w:rsidRPr="00ED41C9">
          <w:rPr>
            <w:rStyle w:val="Hyperlink"/>
            <w:rFonts w:cstheme="minorHAnsi"/>
            <w:sz w:val="18"/>
            <w:szCs w:val="18"/>
          </w:rPr>
          <w:t>http://www.legislation.gov.uk/ukpga/2005/9/contents</w:t>
        </w:r>
      </w:hyperlink>
    </w:p>
  </w:endnote>
  <w:endnote w:id="33">
    <w:p w:rsidR="00767152" w:rsidRPr="00ED41C9" w:rsidRDefault="00767152" w:rsidP="00145105">
      <w:pPr>
        <w:pStyle w:val="EndnoteText"/>
        <w:jc w:val="both"/>
        <w:rPr>
          <w:rFonts w:cstheme="minorHAnsi"/>
          <w:sz w:val="18"/>
          <w:szCs w:val="18"/>
        </w:rPr>
      </w:pPr>
      <w:r w:rsidRPr="00ED41C9">
        <w:rPr>
          <w:rStyle w:val="EndnoteReference"/>
          <w:rFonts w:cstheme="minorHAnsi"/>
          <w:sz w:val="18"/>
          <w:szCs w:val="18"/>
        </w:rPr>
        <w:endnoteRef/>
      </w:r>
      <w:r w:rsidRPr="00ED41C9">
        <w:rPr>
          <w:rFonts w:cstheme="minorHAnsi"/>
          <w:sz w:val="18"/>
          <w:szCs w:val="18"/>
        </w:rPr>
        <w:t xml:space="preserve"> Créée par la </w:t>
      </w:r>
      <w:r w:rsidRPr="00ED41C9">
        <w:rPr>
          <w:rStyle w:val="Strong"/>
          <w:rFonts w:cstheme="minorHAnsi"/>
          <w:b w:val="0"/>
          <w:sz w:val="18"/>
          <w:szCs w:val="18"/>
        </w:rPr>
        <w:t>Loi n° 91-647 du 10 juillet 1991 relative à l'aide juridique</w:t>
      </w:r>
    </w:p>
  </w:endnote>
  <w:endnote w:id="34">
    <w:p w:rsidR="00767152" w:rsidRPr="00ED41C9" w:rsidRDefault="00767152" w:rsidP="00145105">
      <w:pPr>
        <w:pStyle w:val="EndnoteText"/>
        <w:jc w:val="both"/>
        <w:rPr>
          <w:rFonts w:cstheme="minorHAnsi"/>
          <w:color w:val="000000" w:themeColor="text1"/>
          <w:sz w:val="18"/>
          <w:szCs w:val="18"/>
        </w:rPr>
      </w:pPr>
      <w:r w:rsidRPr="00ED41C9">
        <w:rPr>
          <w:rStyle w:val="EndnoteReference"/>
          <w:rFonts w:cstheme="minorHAnsi"/>
          <w:color w:val="000000" w:themeColor="text1"/>
          <w:sz w:val="18"/>
          <w:szCs w:val="18"/>
        </w:rPr>
        <w:endnoteRef/>
      </w:r>
      <w:r w:rsidRPr="00ED41C9">
        <w:rPr>
          <w:rFonts w:cstheme="minorHAnsi"/>
          <w:color w:val="000000" w:themeColor="text1"/>
          <w:sz w:val="18"/>
          <w:szCs w:val="18"/>
        </w:rPr>
        <w:t xml:space="preserve"> </w:t>
      </w:r>
      <w:r w:rsidRPr="00ED41C9">
        <w:rPr>
          <w:rFonts w:cstheme="minorHAnsi"/>
          <w:iCs/>
          <w:color w:val="000000" w:themeColor="text1"/>
          <w:sz w:val="18"/>
          <w:szCs w:val="18"/>
        </w:rPr>
        <w:t>Rapport d'information de la Commission des lois n° 3319,</w:t>
      </w:r>
      <w:r w:rsidRPr="00ED41C9">
        <w:rPr>
          <w:rFonts w:cstheme="minorHAnsi"/>
          <w:i/>
          <w:iCs/>
          <w:color w:val="000000" w:themeColor="text1"/>
          <w:sz w:val="18"/>
          <w:szCs w:val="18"/>
        </w:rPr>
        <w:t xml:space="preserve"> L'accès au droit et à la justice : une nécessité pour une société démocratique</w:t>
      </w:r>
      <w:r w:rsidRPr="00ED41C9">
        <w:rPr>
          <w:rFonts w:cstheme="minorHAnsi"/>
          <w:color w:val="000000" w:themeColor="text1"/>
          <w:sz w:val="18"/>
          <w:szCs w:val="18"/>
        </w:rPr>
        <w:t xml:space="preserve">, avril 2011.  </w:t>
      </w:r>
    </w:p>
  </w:endnote>
  <w:endnote w:id="35">
    <w:p w:rsidR="00767152" w:rsidRPr="00ED41C9" w:rsidRDefault="00767152" w:rsidP="00145105">
      <w:pPr>
        <w:pStyle w:val="Default"/>
        <w:jc w:val="both"/>
        <w:rPr>
          <w:rFonts w:asciiTheme="minorHAnsi" w:hAnsiTheme="minorHAnsi" w:cstheme="minorHAnsi"/>
          <w:sz w:val="18"/>
          <w:szCs w:val="18"/>
        </w:rPr>
      </w:pPr>
      <w:r w:rsidRPr="00ED41C9">
        <w:rPr>
          <w:rStyle w:val="EndnoteReference"/>
          <w:rFonts w:asciiTheme="minorHAnsi" w:hAnsiTheme="minorHAnsi" w:cstheme="minorHAnsi"/>
          <w:sz w:val="18"/>
          <w:szCs w:val="18"/>
        </w:rPr>
        <w:endnoteRef/>
      </w:r>
      <w:r w:rsidRPr="00ED41C9">
        <w:rPr>
          <w:rFonts w:asciiTheme="minorHAnsi" w:hAnsiTheme="minorHAnsi" w:cstheme="minorHAnsi"/>
          <w:sz w:val="18"/>
          <w:szCs w:val="18"/>
        </w:rPr>
        <w:t xml:space="preserve"> Instauration du </w:t>
      </w:r>
      <w:r w:rsidRPr="00ED41C9">
        <w:rPr>
          <w:rFonts w:asciiTheme="minorHAnsi" w:hAnsiTheme="minorHAnsi" w:cstheme="minorHAnsi"/>
          <w:bCs/>
          <w:sz w:val="18"/>
          <w:szCs w:val="18"/>
        </w:rPr>
        <w:t xml:space="preserve">recours administratif préalable obligatoire suite à la notification d’une décision de la MDPH </w:t>
      </w:r>
      <w:r w:rsidRPr="00ED41C9">
        <w:rPr>
          <w:rFonts w:asciiTheme="minorHAnsi" w:hAnsiTheme="minorHAnsi" w:cstheme="minorHAnsi"/>
          <w:sz w:val="18"/>
          <w:szCs w:val="18"/>
        </w:rPr>
        <w:t xml:space="preserve">issu de la </w:t>
      </w:r>
      <w:r w:rsidRPr="00ED41C9">
        <w:rPr>
          <w:rStyle w:val="Strong"/>
          <w:rFonts w:asciiTheme="minorHAnsi" w:hAnsiTheme="minorHAnsi" w:cstheme="minorHAnsi"/>
          <w:b w:val="0"/>
          <w:sz w:val="18"/>
          <w:szCs w:val="18"/>
        </w:rPr>
        <w:t>loi n° 2016-1547 du 18 novembre 2016 de modernisation de la justice du XXIe siècle</w:t>
      </w:r>
    </w:p>
  </w:endnote>
  <w:endnote w:id="36">
    <w:p w:rsidR="00767152" w:rsidRPr="00ED41C9" w:rsidRDefault="00767152" w:rsidP="00145105">
      <w:pPr>
        <w:pStyle w:val="Default"/>
        <w:jc w:val="both"/>
        <w:rPr>
          <w:rFonts w:asciiTheme="minorHAnsi" w:hAnsiTheme="minorHAnsi" w:cstheme="minorHAnsi"/>
          <w:sz w:val="18"/>
          <w:szCs w:val="18"/>
        </w:rPr>
      </w:pPr>
      <w:r w:rsidRPr="00ED41C9">
        <w:rPr>
          <w:rStyle w:val="EndnoteReference"/>
          <w:rFonts w:asciiTheme="minorHAnsi" w:hAnsiTheme="minorHAnsi" w:cstheme="minorHAnsi"/>
          <w:sz w:val="18"/>
          <w:szCs w:val="18"/>
        </w:rPr>
        <w:endnoteRef/>
      </w:r>
      <w:r w:rsidRPr="00ED41C9">
        <w:rPr>
          <w:rFonts w:asciiTheme="minorHAnsi" w:hAnsiTheme="minorHAnsi" w:cstheme="minorHAnsi"/>
          <w:sz w:val="18"/>
          <w:szCs w:val="18"/>
        </w:rPr>
        <w:t xml:space="preserve"> </w:t>
      </w:r>
      <w:r w:rsidRPr="00ED41C9">
        <w:rPr>
          <w:rStyle w:val="Strong"/>
          <w:rFonts w:asciiTheme="minorHAnsi" w:hAnsiTheme="minorHAnsi" w:cstheme="minorHAnsi"/>
          <w:b w:val="0"/>
          <w:sz w:val="18"/>
          <w:szCs w:val="18"/>
        </w:rPr>
        <w:t>Transfert au 1</w:t>
      </w:r>
      <w:r w:rsidRPr="00ED41C9">
        <w:rPr>
          <w:rStyle w:val="Strong"/>
          <w:rFonts w:asciiTheme="minorHAnsi" w:hAnsiTheme="minorHAnsi" w:cstheme="minorHAnsi"/>
          <w:b w:val="0"/>
          <w:sz w:val="18"/>
          <w:szCs w:val="18"/>
          <w:vertAlign w:val="superscript"/>
        </w:rPr>
        <w:t>er</w:t>
      </w:r>
      <w:r w:rsidRPr="00ED41C9">
        <w:rPr>
          <w:rStyle w:val="Strong"/>
          <w:rFonts w:asciiTheme="minorHAnsi" w:hAnsiTheme="minorHAnsi" w:cstheme="minorHAnsi"/>
          <w:b w:val="0"/>
          <w:sz w:val="18"/>
          <w:szCs w:val="18"/>
        </w:rPr>
        <w:t xml:space="preserve"> janvier 2019 du contentieux des tribunaux des affaires de sécurité sociale, des tribunaux de l’incapacité et d’une partie des commissions départementales d’aide social vers les pôles sociaux des tribunaux de grande instance, issu de la loi n° 2016-1547 du 18 novembre 2016 de modernisation de la justice du XXIe siècle</w:t>
      </w:r>
    </w:p>
  </w:endnote>
  <w:endnote w:id="37">
    <w:p w:rsidR="00767152" w:rsidRPr="00ED41C9" w:rsidRDefault="00767152" w:rsidP="00145105">
      <w:pPr>
        <w:jc w:val="both"/>
        <w:rPr>
          <w:rFonts w:cstheme="minorHAnsi"/>
          <w:color w:val="000000" w:themeColor="text1"/>
          <w:sz w:val="18"/>
          <w:szCs w:val="18"/>
        </w:rPr>
      </w:pPr>
      <w:r w:rsidRPr="00ED41C9">
        <w:rPr>
          <w:rStyle w:val="EndnoteReference"/>
          <w:rFonts w:cstheme="minorHAnsi"/>
          <w:color w:val="000000" w:themeColor="text1"/>
          <w:sz w:val="18"/>
          <w:szCs w:val="18"/>
        </w:rPr>
        <w:endnoteRef/>
      </w:r>
      <w:r w:rsidRPr="00ED41C9">
        <w:rPr>
          <w:rFonts w:cstheme="minorHAnsi"/>
          <w:color w:val="000000" w:themeColor="text1"/>
          <w:sz w:val="18"/>
          <w:szCs w:val="18"/>
        </w:rPr>
        <w:t xml:space="preserve"> </w:t>
      </w:r>
      <w:r w:rsidRPr="00ED41C9">
        <w:rPr>
          <w:rFonts w:cstheme="minorHAnsi"/>
          <w:i/>
          <w:iCs/>
          <w:color w:val="000000" w:themeColor="text1"/>
          <w:sz w:val="18"/>
          <w:szCs w:val="18"/>
        </w:rPr>
        <w:t>Raffray Taddei c. France</w:t>
      </w:r>
      <w:r w:rsidRPr="00ED41C9">
        <w:rPr>
          <w:rFonts w:cstheme="minorHAnsi"/>
          <w:color w:val="000000" w:themeColor="text1"/>
          <w:sz w:val="18"/>
          <w:szCs w:val="18"/>
        </w:rPr>
        <w:t xml:space="preserve">, n° 36435/07, 21 décembre 2010 ; </w:t>
      </w:r>
      <w:r w:rsidRPr="00ED41C9">
        <w:rPr>
          <w:rFonts w:cstheme="minorHAnsi"/>
          <w:i/>
          <w:iCs/>
          <w:color w:val="000000" w:themeColor="text1"/>
          <w:sz w:val="18"/>
          <w:szCs w:val="18"/>
        </w:rPr>
        <w:t>G. c. France</w:t>
      </w:r>
      <w:r w:rsidRPr="00ED41C9">
        <w:rPr>
          <w:rFonts w:cstheme="minorHAnsi"/>
          <w:color w:val="000000" w:themeColor="text1"/>
          <w:sz w:val="18"/>
          <w:szCs w:val="18"/>
        </w:rPr>
        <w:t xml:space="preserve">, n° 27244/09, 23 février 2012 ; </w:t>
      </w:r>
      <w:r w:rsidRPr="00ED41C9">
        <w:rPr>
          <w:rFonts w:cstheme="minorHAnsi"/>
          <w:i/>
          <w:iCs/>
          <w:color w:val="000000" w:themeColor="text1"/>
          <w:sz w:val="18"/>
          <w:szCs w:val="18"/>
        </w:rPr>
        <w:t>Helhal c. France</w:t>
      </w:r>
      <w:r w:rsidRPr="00ED41C9">
        <w:rPr>
          <w:rFonts w:cstheme="minorHAnsi"/>
          <w:color w:val="000000" w:themeColor="text1"/>
          <w:sz w:val="18"/>
          <w:szCs w:val="18"/>
        </w:rPr>
        <w:t>, n° 10401/12, 19 février 2015</w:t>
      </w:r>
    </w:p>
  </w:endnote>
  <w:endnote w:id="38">
    <w:p w:rsidR="00767152" w:rsidRPr="00ED41C9" w:rsidRDefault="00767152" w:rsidP="00145105">
      <w:pPr>
        <w:jc w:val="both"/>
        <w:rPr>
          <w:rFonts w:cstheme="minorHAnsi"/>
          <w:sz w:val="18"/>
          <w:szCs w:val="18"/>
        </w:rPr>
      </w:pPr>
      <w:r w:rsidRPr="00ED41C9">
        <w:rPr>
          <w:rStyle w:val="EndnoteReference"/>
          <w:rFonts w:cstheme="minorHAnsi"/>
          <w:sz w:val="18"/>
          <w:szCs w:val="18"/>
        </w:rPr>
        <w:endnoteRef/>
      </w:r>
      <w:r w:rsidRPr="00ED41C9">
        <w:rPr>
          <w:rFonts w:cstheme="minorHAnsi"/>
          <w:sz w:val="18"/>
          <w:szCs w:val="18"/>
        </w:rPr>
        <w:t xml:space="preserve"> Magali Coldefy, Sarah Fernandes, avec la collaboration de David Lapalus, </w:t>
      </w:r>
      <w:r w:rsidRPr="00ED41C9">
        <w:rPr>
          <w:rFonts w:cstheme="minorHAnsi"/>
          <w:i/>
          <w:sz w:val="18"/>
          <w:szCs w:val="18"/>
        </w:rPr>
        <w:t>Les soins sans consentement en psychiatrie : bilan après quatre années de mise en œuvre de la loi du 5 juillet 2011</w:t>
      </w:r>
      <w:r w:rsidRPr="00ED41C9">
        <w:rPr>
          <w:rFonts w:cstheme="minorHAnsi"/>
          <w:sz w:val="18"/>
          <w:szCs w:val="18"/>
        </w:rPr>
        <w:t xml:space="preserve">, février 2017 </w:t>
      </w:r>
      <w:hyperlink r:id="rId7" w:history="1">
        <w:r w:rsidRPr="00ED41C9">
          <w:rPr>
            <w:rStyle w:val="Hyperlink"/>
            <w:rFonts w:cstheme="minorHAnsi"/>
            <w:sz w:val="18"/>
            <w:szCs w:val="18"/>
          </w:rPr>
          <w:t>http://www.irdes.fr/recherche/questions-d-economie-de-la-sante/222-les-soins-sans-consentement-en-psychiatrie.pdf</w:t>
        </w:r>
      </w:hyperlink>
      <w:r w:rsidRPr="00ED41C9">
        <w:rPr>
          <w:rFonts w:cstheme="minorHAnsi"/>
          <w:sz w:val="18"/>
          <w:szCs w:val="18"/>
        </w:rPr>
        <w:t xml:space="preserve"> </w:t>
      </w:r>
    </w:p>
  </w:endnote>
  <w:endnote w:id="39">
    <w:p w:rsidR="00767152" w:rsidRDefault="00767152" w:rsidP="00145105">
      <w:pPr>
        <w:jc w:val="both"/>
        <w:rPr>
          <w:sz w:val="18"/>
          <w:szCs w:val="18"/>
        </w:rPr>
      </w:pPr>
      <w:r w:rsidRPr="00666884">
        <w:rPr>
          <w:sz w:val="18"/>
          <w:szCs w:val="18"/>
          <w:vertAlign w:val="superscript"/>
        </w:rPr>
        <w:endnoteRef/>
      </w:r>
      <w:r w:rsidRPr="00666884">
        <w:rPr>
          <w:sz w:val="18"/>
          <w:szCs w:val="18"/>
          <w:vertAlign w:val="superscript"/>
        </w:rPr>
        <w:t xml:space="preserve"> </w:t>
      </w:r>
      <w:r>
        <w:rPr>
          <w:sz w:val="18"/>
          <w:szCs w:val="18"/>
        </w:rPr>
        <w:t xml:space="preserve">Haute Autorité de Santé (HAS), </w:t>
      </w:r>
      <w:r w:rsidRPr="00666884">
        <w:rPr>
          <w:i/>
          <w:sz w:val="18"/>
          <w:szCs w:val="18"/>
        </w:rPr>
        <w:t>Isolement et contention en psychiatrie générale,</w:t>
      </w:r>
      <w:r>
        <w:rPr>
          <w:i/>
          <w:sz w:val="18"/>
          <w:szCs w:val="18"/>
        </w:rPr>
        <w:t xml:space="preserve"> </w:t>
      </w:r>
      <w:r w:rsidRPr="00666884">
        <w:rPr>
          <w:i/>
          <w:sz w:val="18"/>
          <w:szCs w:val="18"/>
        </w:rPr>
        <w:t xml:space="preserve">Méthode Recommandations pour la pratique clinique, </w:t>
      </w:r>
      <w:r w:rsidRPr="00666884">
        <w:rPr>
          <w:sz w:val="18"/>
          <w:szCs w:val="18"/>
        </w:rPr>
        <w:t>Février 2017</w:t>
      </w:r>
    </w:p>
    <w:p w:rsidR="00767152" w:rsidRPr="00666884" w:rsidRDefault="00767152" w:rsidP="00145105">
      <w:pPr>
        <w:jc w:val="both"/>
        <w:rPr>
          <w:sz w:val="18"/>
          <w:szCs w:val="18"/>
        </w:rPr>
      </w:pPr>
      <w:r w:rsidRPr="00666884">
        <w:rPr>
          <w:sz w:val="18"/>
          <w:szCs w:val="18"/>
        </w:rPr>
        <w:t xml:space="preserve"> </w:t>
      </w:r>
      <w:hyperlink r:id="rId8" w:history="1">
        <w:r w:rsidRPr="00666884">
          <w:rPr>
            <w:rStyle w:val="Hyperlink"/>
            <w:sz w:val="18"/>
            <w:szCs w:val="18"/>
          </w:rPr>
          <w:t>https://www.has-sante.fr/upload/docs/application/pdf/2017-03/isolement_et_contention_en_psychiatrie_generale_-_recommandations_2017-03-13_10-13-59_378.pdf</w:t>
        </w:r>
      </w:hyperlink>
      <w:r w:rsidRPr="00666884">
        <w:rPr>
          <w:sz w:val="18"/>
          <w:szCs w:val="18"/>
        </w:rPr>
        <w:t xml:space="preserve"> </w:t>
      </w:r>
    </w:p>
  </w:endnote>
  <w:endnote w:id="40">
    <w:p w:rsidR="00767152" w:rsidRPr="00ED41C9" w:rsidRDefault="00767152" w:rsidP="00145105">
      <w:pPr>
        <w:spacing w:line="240" w:lineRule="auto"/>
        <w:jc w:val="both"/>
        <w:rPr>
          <w:rFonts w:cstheme="minorHAnsi"/>
          <w:sz w:val="18"/>
          <w:szCs w:val="18"/>
        </w:rPr>
      </w:pPr>
      <w:r w:rsidRPr="00ED41C9">
        <w:rPr>
          <w:rStyle w:val="EndnoteReference"/>
          <w:rFonts w:cstheme="minorHAnsi"/>
          <w:sz w:val="18"/>
          <w:szCs w:val="18"/>
        </w:rPr>
        <w:endnoteRef/>
      </w:r>
      <w:r w:rsidRPr="00ED41C9">
        <w:rPr>
          <w:rFonts w:cstheme="minorHAnsi"/>
          <w:sz w:val="18"/>
          <w:szCs w:val="18"/>
        </w:rPr>
        <w:t xml:space="preserve"> DGOS/R4/2019/10 du 16 janvier 2019 relative au développement des soins de réhabilitation psychosociale sur les territoires</w:t>
      </w:r>
    </w:p>
  </w:endnote>
  <w:endnote w:id="41">
    <w:p w:rsidR="00767152" w:rsidRPr="00ED41C9" w:rsidRDefault="00767152" w:rsidP="00145105">
      <w:pPr>
        <w:jc w:val="both"/>
        <w:rPr>
          <w:rFonts w:cstheme="minorHAnsi"/>
          <w:sz w:val="18"/>
          <w:szCs w:val="18"/>
        </w:rPr>
      </w:pPr>
      <w:r w:rsidRPr="00ED41C9">
        <w:rPr>
          <w:rStyle w:val="EndnoteReference"/>
          <w:rFonts w:cstheme="minorHAnsi"/>
          <w:sz w:val="18"/>
          <w:szCs w:val="18"/>
        </w:rPr>
        <w:endnoteRef/>
      </w:r>
      <w:r w:rsidRPr="00ED41C9">
        <w:rPr>
          <w:rFonts w:cstheme="minorHAnsi"/>
          <w:sz w:val="18"/>
          <w:szCs w:val="18"/>
        </w:rPr>
        <w:t xml:space="preserve"> </w:t>
      </w:r>
      <w:r>
        <w:rPr>
          <w:rFonts w:cstheme="minorHAnsi"/>
          <w:sz w:val="18"/>
          <w:szCs w:val="18"/>
        </w:rPr>
        <w:t xml:space="preserve">En 1996, l’IGAS relève </w:t>
      </w:r>
      <w:r w:rsidRPr="00DD1086">
        <w:rPr>
          <w:sz w:val="18"/>
          <w:szCs w:val="18"/>
        </w:rPr>
        <w:t>211 cas de stérilisations de femmes ayant des déficiences intellectuelles, tout en insistant sur le peu de données disponibles</w:t>
      </w:r>
      <w:r>
        <w:rPr>
          <w:rStyle w:val="field"/>
          <w:rFonts w:cstheme="minorHAnsi"/>
          <w:sz w:val="18"/>
          <w:szCs w:val="18"/>
        </w:rPr>
        <w:t xml:space="preserve"> –</w:t>
      </w:r>
      <w:r w:rsidRPr="00ED41C9">
        <w:rPr>
          <w:rStyle w:val="field"/>
          <w:rFonts w:cstheme="minorHAnsi"/>
          <w:sz w:val="18"/>
          <w:szCs w:val="18"/>
        </w:rPr>
        <w:t xml:space="preserve"> Rapport de l’</w:t>
      </w:r>
      <w:r w:rsidRPr="00ED41C9">
        <w:rPr>
          <w:rFonts w:cstheme="minorHAnsi"/>
          <w:sz w:val="18"/>
          <w:szCs w:val="18"/>
        </w:rPr>
        <w:t>Inspection générale des Affaires sociales</w:t>
      </w:r>
      <w:r w:rsidRPr="00ED41C9">
        <w:rPr>
          <w:rStyle w:val="field"/>
          <w:rFonts w:cstheme="minorHAnsi"/>
          <w:sz w:val="18"/>
          <w:szCs w:val="18"/>
        </w:rPr>
        <w:t xml:space="preserve"> </w:t>
      </w:r>
      <w:r w:rsidRPr="00ED41C9">
        <w:rPr>
          <w:rStyle w:val="field"/>
          <w:rFonts w:cstheme="minorHAnsi"/>
          <w:i/>
          <w:sz w:val="18"/>
          <w:szCs w:val="18"/>
        </w:rPr>
        <w:t>Les problèmes posés par les pratiques de stérilisation des personnes handicapées</w:t>
      </w:r>
      <w:r w:rsidRPr="00ED41C9">
        <w:rPr>
          <w:rStyle w:val="field"/>
          <w:rFonts w:cstheme="minorHAnsi"/>
          <w:sz w:val="18"/>
          <w:szCs w:val="18"/>
        </w:rPr>
        <w:t xml:space="preserve">, mars 1998 </w:t>
      </w:r>
      <w:r w:rsidRPr="00ED41C9">
        <w:rPr>
          <w:rFonts w:cstheme="minorHAnsi"/>
          <w:sz w:val="18"/>
          <w:szCs w:val="18"/>
        </w:rPr>
        <w:t xml:space="preserve"> </w:t>
      </w:r>
      <w:hyperlink r:id="rId9" w:history="1">
        <w:r w:rsidRPr="00ED41C9">
          <w:rPr>
            <w:rStyle w:val="Hyperlink"/>
            <w:rFonts w:cstheme="minorHAnsi"/>
            <w:sz w:val="18"/>
            <w:szCs w:val="18"/>
          </w:rPr>
          <w:t>https://www.vie-publique.fr/rapport/24395-rapport-sur-les-problemes-poses-par-les-pratiques-de-sterilisation-des-p</w:t>
        </w:r>
      </w:hyperlink>
      <w:r w:rsidRPr="00ED41C9">
        <w:rPr>
          <w:rFonts w:cstheme="minorHAnsi"/>
          <w:sz w:val="18"/>
          <w:szCs w:val="18"/>
        </w:rPr>
        <w:t xml:space="preserve"> </w:t>
      </w:r>
    </w:p>
  </w:endnote>
  <w:endnote w:id="42">
    <w:p w:rsidR="00767152" w:rsidRPr="00ED41C9" w:rsidRDefault="00767152" w:rsidP="00145105">
      <w:pPr>
        <w:pStyle w:val="EndnoteText"/>
        <w:jc w:val="both"/>
        <w:rPr>
          <w:rFonts w:cstheme="minorHAnsi"/>
          <w:sz w:val="18"/>
          <w:szCs w:val="18"/>
        </w:rPr>
      </w:pPr>
      <w:r w:rsidRPr="00ED41C9">
        <w:rPr>
          <w:rStyle w:val="EndnoteReference"/>
          <w:rFonts w:cstheme="minorHAnsi"/>
          <w:sz w:val="18"/>
          <w:szCs w:val="18"/>
        </w:rPr>
        <w:endnoteRef/>
      </w:r>
      <w:r w:rsidRPr="00ED41C9">
        <w:rPr>
          <w:rFonts w:cstheme="minorHAnsi"/>
          <w:sz w:val="18"/>
          <w:szCs w:val="18"/>
        </w:rPr>
        <w:t xml:space="preserve"> </w:t>
      </w:r>
      <w:r w:rsidRPr="00ED41C9">
        <w:rPr>
          <w:rFonts w:cstheme="minorHAnsi"/>
          <w:color w:val="000000"/>
          <w:sz w:val="18"/>
          <w:szCs w:val="18"/>
        </w:rPr>
        <w:t>Préambule de la Constitution de 1946</w:t>
      </w:r>
    </w:p>
  </w:endnote>
  <w:endnote w:id="43">
    <w:p w:rsidR="00767152" w:rsidRPr="00ED41C9" w:rsidRDefault="00767152" w:rsidP="00145105">
      <w:pPr>
        <w:jc w:val="both"/>
        <w:rPr>
          <w:rFonts w:cstheme="minorHAnsi"/>
          <w:sz w:val="18"/>
          <w:szCs w:val="18"/>
        </w:rPr>
      </w:pPr>
      <w:r w:rsidRPr="00ED41C9">
        <w:rPr>
          <w:rStyle w:val="EndnoteReference"/>
          <w:rFonts w:cstheme="minorHAnsi"/>
          <w:sz w:val="18"/>
          <w:szCs w:val="18"/>
        </w:rPr>
        <w:endnoteRef/>
      </w:r>
      <w:r w:rsidRPr="00ED41C9">
        <w:rPr>
          <w:rFonts w:cstheme="minorHAnsi"/>
          <w:sz w:val="18"/>
          <w:szCs w:val="18"/>
        </w:rPr>
        <w:t xml:space="preserve"> </w:t>
      </w:r>
      <w:r w:rsidRPr="00ED41C9">
        <w:rPr>
          <w:rStyle w:val="Strong"/>
          <w:rFonts w:cstheme="minorHAnsi"/>
          <w:b w:val="0"/>
          <w:color w:val="000000"/>
          <w:sz w:val="18"/>
          <w:szCs w:val="18"/>
        </w:rPr>
        <w:t>Délibération de la Commission Nationale Informatique et Libertés n° 2016-175 du 9 juin 2016 portant autorisation unique relative aux traitements de données à caractère</w:t>
      </w:r>
      <w:r w:rsidRPr="00ED41C9">
        <w:rPr>
          <w:rStyle w:val="Strong"/>
          <w:rFonts w:cstheme="minorHAnsi"/>
          <w:color w:val="000000"/>
          <w:sz w:val="18"/>
          <w:szCs w:val="18"/>
        </w:rPr>
        <w:t xml:space="preserve"> </w:t>
      </w:r>
      <w:r w:rsidRPr="00ED41C9">
        <w:rPr>
          <w:rStyle w:val="Strong"/>
          <w:rFonts w:cstheme="minorHAnsi"/>
          <w:b w:val="0"/>
          <w:color w:val="000000"/>
          <w:sz w:val="18"/>
          <w:szCs w:val="18"/>
        </w:rPr>
        <w:t>personnel</w:t>
      </w:r>
      <w:r w:rsidRPr="00ED41C9">
        <w:rPr>
          <w:rFonts w:cstheme="minorHAnsi"/>
          <w:sz w:val="18"/>
          <w:szCs w:val="18"/>
        </w:rPr>
        <w:t xml:space="preserve"> mis en œuvre par les mandataires judiciaires à la protection des majeurs, ayant pour finalités la gestion et le suivi de la représentation juridique, de l'assistance et du contrôle des personnes placées par l'autorité judiciaire sous sauvegarde de justice, curatelle, tutelle ou mesure d'accompagnement judiciaire</w:t>
      </w:r>
    </w:p>
    <w:p w:rsidR="00767152" w:rsidRPr="00ED41C9" w:rsidRDefault="00C56C1C" w:rsidP="00145105">
      <w:pPr>
        <w:jc w:val="both"/>
        <w:rPr>
          <w:rFonts w:cstheme="minorHAnsi"/>
          <w:sz w:val="18"/>
          <w:szCs w:val="18"/>
        </w:rPr>
      </w:pPr>
      <w:hyperlink r:id="rId10" w:history="1">
        <w:r w:rsidR="00767152" w:rsidRPr="00ED41C9">
          <w:rPr>
            <w:rStyle w:val="Hyperlink"/>
            <w:rFonts w:cstheme="minorHAnsi"/>
            <w:sz w:val="18"/>
            <w:szCs w:val="18"/>
          </w:rPr>
          <w:t>https://www.legifrance.gouv.fr/affichTexte.do?cidTexte=JORFTEXT000032788960&amp;categorieLien=id</w:t>
        </w:r>
      </w:hyperlink>
      <w:r w:rsidR="00767152" w:rsidRPr="00ED41C9">
        <w:rPr>
          <w:rFonts w:cstheme="minorHAnsi"/>
          <w:sz w:val="18"/>
          <w:szCs w:val="18"/>
        </w:rPr>
        <w:t xml:space="preserve"> </w:t>
      </w:r>
    </w:p>
  </w:endnote>
  <w:endnote w:id="44">
    <w:p w:rsidR="00767152" w:rsidRPr="00ED41C9" w:rsidRDefault="00767152" w:rsidP="00145105">
      <w:pPr>
        <w:pStyle w:val="EndnoteText"/>
        <w:jc w:val="both"/>
        <w:rPr>
          <w:rFonts w:cstheme="minorHAnsi"/>
          <w:sz w:val="18"/>
          <w:szCs w:val="18"/>
        </w:rPr>
      </w:pPr>
      <w:r w:rsidRPr="00ED41C9">
        <w:rPr>
          <w:rStyle w:val="EndnoteReference"/>
          <w:rFonts w:cstheme="minorHAnsi"/>
          <w:sz w:val="18"/>
          <w:szCs w:val="18"/>
        </w:rPr>
        <w:endnoteRef/>
      </w:r>
      <w:r w:rsidRPr="00ED41C9">
        <w:rPr>
          <w:rFonts w:cstheme="minorHAnsi"/>
          <w:sz w:val="18"/>
          <w:szCs w:val="18"/>
        </w:rPr>
        <w:t xml:space="preserve"> Données du Ministère de l'Éducation nationale et de la Jeunesse concernant la rentrée 2019 et présentés à l'occasion du Comité national de suivi de l'École inclusive, 4 novembre</w:t>
      </w:r>
      <w:r>
        <w:rPr>
          <w:rFonts w:cstheme="minorHAnsi"/>
          <w:sz w:val="18"/>
          <w:szCs w:val="18"/>
        </w:rPr>
        <w:t xml:space="preserve"> 2019</w:t>
      </w:r>
      <w:r w:rsidRPr="00ED41C9">
        <w:rPr>
          <w:rFonts w:cstheme="minorHAnsi"/>
          <w:sz w:val="18"/>
          <w:szCs w:val="18"/>
        </w:rPr>
        <w:t xml:space="preserve"> </w:t>
      </w:r>
      <w:hyperlink r:id="rId11" w:history="1">
        <w:r w:rsidRPr="00ED41C9">
          <w:rPr>
            <w:rStyle w:val="Hyperlink"/>
            <w:rFonts w:cstheme="minorHAnsi"/>
            <w:sz w:val="18"/>
            <w:szCs w:val="18"/>
          </w:rPr>
          <w:t>https://www.education.gouv.fr/cid146418/comite-national-de-suivi-de-l-ecole-inclusive.html</w:t>
        </w:r>
      </w:hyperlink>
      <w:r w:rsidRPr="00ED41C9">
        <w:rPr>
          <w:rFonts w:cstheme="minorHAnsi"/>
          <w:sz w:val="18"/>
          <w:szCs w:val="18"/>
        </w:rPr>
        <w:t xml:space="preserve"> </w:t>
      </w:r>
    </w:p>
  </w:endnote>
  <w:endnote w:id="45">
    <w:p w:rsidR="00767152" w:rsidRPr="00ED41C9" w:rsidRDefault="00767152" w:rsidP="00145105">
      <w:pPr>
        <w:jc w:val="both"/>
        <w:rPr>
          <w:rFonts w:cstheme="minorHAnsi"/>
          <w:sz w:val="18"/>
          <w:szCs w:val="18"/>
        </w:rPr>
      </w:pPr>
      <w:r w:rsidRPr="00ED41C9">
        <w:rPr>
          <w:rStyle w:val="EndnoteReference"/>
          <w:rFonts w:cstheme="minorHAnsi"/>
          <w:sz w:val="18"/>
          <w:szCs w:val="18"/>
        </w:rPr>
        <w:endnoteRef/>
      </w:r>
      <w:r w:rsidRPr="00ED41C9">
        <w:rPr>
          <w:rFonts w:cstheme="minorHAnsi"/>
          <w:sz w:val="18"/>
          <w:szCs w:val="18"/>
        </w:rPr>
        <w:t xml:space="preserve"> Données du Ministère de l'Éducation nationale et de la Jeunesse concernant la rentrée 2019 et présentés à l'occasion du Comité national de suivi de l'École inclusive, 4 novembre</w:t>
      </w:r>
      <w:r>
        <w:rPr>
          <w:rFonts w:cstheme="minorHAnsi"/>
          <w:sz w:val="18"/>
          <w:szCs w:val="18"/>
        </w:rPr>
        <w:t xml:space="preserve"> 2019</w:t>
      </w:r>
      <w:r w:rsidRPr="00ED41C9">
        <w:rPr>
          <w:rFonts w:cstheme="minorHAnsi"/>
          <w:sz w:val="18"/>
          <w:szCs w:val="18"/>
        </w:rPr>
        <w:t xml:space="preserve"> </w:t>
      </w:r>
      <w:hyperlink r:id="rId12" w:history="1">
        <w:r w:rsidRPr="00ED41C9">
          <w:rPr>
            <w:rStyle w:val="Hyperlink"/>
            <w:rFonts w:cstheme="minorHAnsi"/>
            <w:sz w:val="18"/>
            <w:szCs w:val="18"/>
          </w:rPr>
          <w:t>https://www.education.gouv.fr/cid146418/comite-national-de-suivi-de-l-ecole-inclusive.html</w:t>
        </w:r>
      </w:hyperlink>
    </w:p>
  </w:endnote>
  <w:endnote w:id="46">
    <w:p w:rsidR="00767152" w:rsidRPr="00ED41C9" w:rsidRDefault="00767152" w:rsidP="00145105">
      <w:pPr>
        <w:autoSpaceDE w:val="0"/>
        <w:autoSpaceDN w:val="0"/>
        <w:adjustRightInd w:val="0"/>
        <w:spacing w:line="240" w:lineRule="auto"/>
        <w:jc w:val="both"/>
        <w:rPr>
          <w:rFonts w:cstheme="minorHAnsi"/>
          <w:sz w:val="18"/>
          <w:szCs w:val="18"/>
        </w:rPr>
      </w:pPr>
      <w:r w:rsidRPr="00ED41C9">
        <w:rPr>
          <w:rStyle w:val="EndnoteReference"/>
          <w:rFonts w:cstheme="minorHAnsi"/>
          <w:sz w:val="18"/>
          <w:szCs w:val="18"/>
        </w:rPr>
        <w:endnoteRef/>
      </w:r>
      <w:r w:rsidRPr="00ED41C9">
        <w:rPr>
          <w:rFonts w:cstheme="minorHAnsi"/>
          <w:sz w:val="18"/>
          <w:szCs w:val="18"/>
        </w:rPr>
        <w:t xml:space="preserve"> Commissaire aux Droits de l’Homme du Conseil de l’Europe, Rapport par Nils Muižnieks suite à sa visite en France du 22 au 26 septembre 2014, 2015. </w:t>
      </w:r>
      <w:hyperlink r:id="rId13" w:history="1">
        <w:r w:rsidRPr="00ED41C9">
          <w:rPr>
            <w:rStyle w:val="Hyperlink"/>
            <w:rFonts w:cstheme="minorHAnsi"/>
            <w:sz w:val="18"/>
            <w:szCs w:val="18"/>
          </w:rPr>
          <w:t xml:space="preserve">https://www.coe.int/fr/web/commissioner/-/france-persistent-discrimination-endangers-human-rights? </w:t>
        </w:r>
      </w:hyperlink>
    </w:p>
  </w:endnote>
  <w:endnote w:id="47">
    <w:p w:rsidR="00767152" w:rsidRPr="00ED41C9" w:rsidRDefault="00767152" w:rsidP="00145105">
      <w:pPr>
        <w:pStyle w:val="EndnoteText"/>
        <w:jc w:val="both"/>
        <w:rPr>
          <w:rFonts w:cstheme="minorHAnsi"/>
          <w:sz w:val="18"/>
          <w:szCs w:val="18"/>
        </w:rPr>
      </w:pPr>
      <w:r w:rsidRPr="00ED41C9">
        <w:rPr>
          <w:rStyle w:val="EndnoteReference"/>
          <w:rFonts w:cstheme="minorHAnsi"/>
          <w:sz w:val="18"/>
          <w:szCs w:val="18"/>
        </w:rPr>
        <w:endnoteRef/>
      </w:r>
      <w:r w:rsidRPr="00ED41C9">
        <w:rPr>
          <w:rFonts w:cstheme="minorHAnsi"/>
          <w:sz w:val="18"/>
          <w:szCs w:val="18"/>
        </w:rPr>
        <w:t xml:space="preserve"> Préambule de la Constitution de 1946 qui consacre la protection de la santé au titre des principaux droits fondamentaux et article L1110-1 du code de la santé publique</w:t>
      </w:r>
      <w:r w:rsidRPr="00ED41C9" w:rsidDel="00DE2712">
        <w:rPr>
          <w:rFonts w:cstheme="minorHAnsi"/>
          <w:sz w:val="18"/>
          <w:szCs w:val="18"/>
        </w:rPr>
        <w:t xml:space="preserve"> </w:t>
      </w:r>
    </w:p>
  </w:endnote>
  <w:endnote w:id="48">
    <w:p w:rsidR="00767152" w:rsidRDefault="00767152" w:rsidP="00145105">
      <w:pPr>
        <w:pStyle w:val="EndnoteText"/>
        <w:jc w:val="both"/>
        <w:rPr>
          <w:sz w:val="18"/>
          <w:szCs w:val="18"/>
        </w:rPr>
      </w:pPr>
      <w:r w:rsidRPr="007C5EAC">
        <w:rPr>
          <w:rStyle w:val="EndnoteReference"/>
          <w:sz w:val="18"/>
          <w:szCs w:val="18"/>
        </w:rPr>
        <w:endnoteRef/>
      </w:r>
      <w:r w:rsidRPr="007C5EAC">
        <w:rPr>
          <w:sz w:val="18"/>
          <w:szCs w:val="18"/>
        </w:rPr>
        <w:t xml:space="preserve"> </w:t>
      </w:r>
      <w:r>
        <w:rPr>
          <w:i/>
          <w:sz w:val="18"/>
          <w:szCs w:val="18"/>
        </w:rPr>
        <w:t>Etude</w:t>
      </w:r>
      <w:r w:rsidRPr="007C5EAC">
        <w:rPr>
          <w:i/>
          <w:sz w:val="18"/>
          <w:szCs w:val="18"/>
        </w:rPr>
        <w:t xml:space="preserve"> Handifaction,</w:t>
      </w:r>
      <w:r w:rsidRPr="007C5EAC">
        <w:rPr>
          <w:sz w:val="18"/>
          <w:szCs w:val="18"/>
        </w:rPr>
        <w:t xml:space="preserve"> </w:t>
      </w:r>
      <w:r w:rsidRPr="007C5EAC">
        <w:rPr>
          <w:i/>
          <w:sz w:val="18"/>
          <w:szCs w:val="18"/>
        </w:rPr>
        <w:t>Enquête de satisfaction de la charte Romain Jacob</w:t>
      </w:r>
      <w:r w:rsidRPr="007C5EAC">
        <w:rPr>
          <w:sz w:val="18"/>
          <w:szCs w:val="18"/>
        </w:rPr>
        <w:t>, septembre 2019</w:t>
      </w:r>
    </w:p>
    <w:p w:rsidR="00767152" w:rsidRPr="007C5EAC" w:rsidRDefault="00767152" w:rsidP="00145105">
      <w:pPr>
        <w:pStyle w:val="EndnoteText"/>
        <w:jc w:val="both"/>
        <w:rPr>
          <w:sz w:val="18"/>
          <w:szCs w:val="18"/>
        </w:rPr>
      </w:pPr>
      <w:r w:rsidRPr="007C5EAC">
        <w:rPr>
          <w:sz w:val="18"/>
          <w:szCs w:val="18"/>
        </w:rPr>
        <w:t xml:space="preserve"> </w:t>
      </w:r>
      <w:hyperlink r:id="rId14" w:history="1">
        <w:r w:rsidRPr="007C5EAC">
          <w:rPr>
            <w:rStyle w:val="Hyperlink"/>
            <w:sz w:val="18"/>
            <w:szCs w:val="18"/>
          </w:rPr>
          <w:t>https://www.handifaction.fr/derniers-resultats/</w:t>
        </w:r>
      </w:hyperlink>
      <w:r w:rsidRPr="007C5EAC">
        <w:rPr>
          <w:sz w:val="18"/>
          <w:szCs w:val="18"/>
        </w:rPr>
        <w:t xml:space="preserve"> </w:t>
      </w:r>
    </w:p>
  </w:endnote>
  <w:endnote w:id="49">
    <w:p w:rsidR="00767152" w:rsidRDefault="00767152" w:rsidP="00145105">
      <w:pPr>
        <w:pStyle w:val="EndnoteText"/>
        <w:jc w:val="both"/>
        <w:rPr>
          <w:sz w:val="18"/>
          <w:szCs w:val="18"/>
        </w:rPr>
      </w:pPr>
      <w:r w:rsidRPr="007C5EAC">
        <w:rPr>
          <w:rStyle w:val="EndnoteReference"/>
          <w:sz w:val="18"/>
          <w:szCs w:val="18"/>
        </w:rPr>
        <w:endnoteRef/>
      </w:r>
      <w:r w:rsidRPr="007C5EAC">
        <w:rPr>
          <w:sz w:val="18"/>
          <w:szCs w:val="18"/>
        </w:rPr>
        <w:t xml:space="preserve"> </w:t>
      </w:r>
      <w:r>
        <w:rPr>
          <w:i/>
          <w:sz w:val="18"/>
          <w:szCs w:val="18"/>
        </w:rPr>
        <w:t>Etude</w:t>
      </w:r>
      <w:r w:rsidRPr="007C5EAC">
        <w:rPr>
          <w:i/>
          <w:sz w:val="18"/>
          <w:szCs w:val="18"/>
        </w:rPr>
        <w:t xml:space="preserve"> Handifaction,</w:t>
      </w:r>
      <w:r w:rsidRPr="007C5EAC">
        <w:rPr>
          <w:sz w:val="18"/>
          <w:szCs w:val="18"/>
        </w:rPr>
        <w:t xml:space="preserve"> </w:t>
      </w:r>
      <w:r w:rsidRPr="007C5EAC">
        <w:rPr>
          <w:i/>
          <w:sz w:val="18"/>
          <w:szCs w:val="18"/>
        </w:rPr>
        <w:t>Enquête de satisfaction de la charte Romain Jacob</w:t>
      </w:r>
      <w:r w:rsidRPr="007C5EAC">
        <w:rPr>
          <w:sz w:val="18"/>
          <w:szCs w:val="18"/>
        </w:rPr>
        <w:t>, septembre 2019</w:t>
      </w:r>
    </w:p>
    <w:p w:rsidR="00767152" w:rsidRPr="007C5EAC" w:rsidRDefault="00767152" w:rsidP="00145105">
      <w:pPr>
        <w:pStyle w:val="EndnoteText"/>
        <w:jc w:val="both"/>
        <w:rPr>
          <w:sz w:val="18"/>
          <w:szCs w:val="18"/>
        </w:rPr>
      </w:pPr>
      <w:r w:rsidRPr="007C5EAC">
        <w:rPr>
          <w:sz w:val="18"/>
          <w:szCs w:val="18"/>
        </w:rPr>
        <w:t xml:space="preserve"> </w:t>
      </w:r>
      <w:hyperlink r:id="rId15" w:history="1">
        <w:r w:rsidRPr="007C5EAC">
          <w:rPr>
            <w:rStyle w:val="Hyperlink"/>
            <w:sz w:val="18"/>
            <w:szCs w:val="18"/>
          </w:rPr>
          <w:t>https://www.handifaction.fr/derniers-resultats/</w:t>
        </w:r>
      </w:hyperlink>
      <w:r w:rsidRPr="007C5EAC">
        <w:rPr>
          <w:sz w:val="18"/>
          <w:szCs w:val="18"/>
        </w:rPr>
        <w:t xml:space="preserve"> </w:t>
      </w:r>
    </w:p>
  </w:endnote>
  <w:endnote w:id="50">
    <w:p w:rsidR="00767152" w:rsidRPr="00ED41C9" w:rsidRDefault="00767152" w:rsidP="00145105">
      <w:pPr>
        <w:pStyle w:val="EndnoteText"/>
        <w:jc w:val="both"/>
        <w:rPr>
          <w:rFonts w:cstheme="minorHAnsi"/>
          <w:sz w:val="18"/>
          <w:szCs w:val="18"/>
        </w:rPr>
      </w:pPr>
      <w:r w:rsidRPr="00ED41C9">
        <w:rPr>
          <w:rStyle w:val="EndnoteReference"/>
          <w:rFonts w:cstheme="minorHAnsi"/>
          <w:sz w:val="18"/>
          <w:szCs w:val="18"/>
        </w:rPr>
        <w:endnoteRef/>
      </w:r>
      <w:r w:rsidRPr="00ED41C9">
        <w:rPr>
          <w:rFonts w:cstheme="minorHAnsi"/>
          <w:sz w:val="18"/>
          <w:szCs w:val="18"/>
        </w:rPr>
        <w:t xml:space="preserve"> Article L.1110-3 du code de la santé publique</w:t>
      </w:r>
    </w:p>
  </w:endnote>
  <w:endnote w:id="51">
    <w:p w:rsidR="00767152" w:rsidRPr="00ED41C9" w:rsidRDefault="00767152" w:rsidP="00145105">
      <w:pPr>
        <w:jc w:val="both"/>
        <w:rPr>
          <w:rFonts w:cstheme="minorHAnsi"/>
          <w:sz w:val="18"/>
          <w:szCs w:val="18"/>
        </w:rPr>
      </w:pPr>
      <w:r w:rsidRPr="00ED41C9">
        <w:rPr>
          <w:rStyle w:val="EndnoteReference"/>
          <w:rFonts w:cstheme="minorHAnsi"/>
          <w:sz w:val="18"/>
          <w:szCs w:val="18"/>
        </w:rPr>
        <w:endnoteRef/>
      </w:r>
      <w:r w:rsidRPr="00ED41C9">
        <w:rPr>
          <w:rFonts w:cstheme="minorHAnsi"/>
          <w:sz w:val="18"/>
          <w:szCs w:val="18"/>
        </w:rPr>
        <w:t xml:space="preserve"> Données du Ministère du Travail, </w:t>
      </w:r>
      <w:r w:rsidRPr="00ED41C9">
        <w:rPr>
          <w:rFonts w:cstheme="minorHAnsi"/>
          <w:i/>
          <w:sz w:val="18"/>
          <w:szCs w:val="18"/>
        </w:rPr>
        <w:t>L’emploi des travailleurs handicapés : tous concernés, tous mobilisés</w:t>
      </w:r>
      <w:r w:rsidRPr="00ED41C9">
        <w:rPr>
          <w:rFonts w:cstheme="minorHAnsi"/>
          <w:sz w:val="18"/>
          <w:szCs w:val="18"/>
        </w:rPr>
        <w:t xml:space="preserve"> </w:t>
      </w:r>
      <w:hyperlink r:id="rId16" w:history="1">
        <w:r w:rsidRPr="00ED41C9">
          <w:rPr>
            <w:rStyle w:val="HTMLCite"/>
            <w:rFonts w:cstheme="minorHAnsi"/>
            <w:color w:val="0000FF"/>
            <w:sz w:val="18"/>
            <w:szCs w:val="18"/>
            <w:u w:val="single"/>
          </w:rPr>
          <w:t>travail-emploi.gouv.fr › IMG › pdf › dp__handicap-et-emploi-050618</w:t>
        </w:r>
      </w:hyperlink>
    </w:p>
  </w:endnote>
  <w:endnote w:id="52">
    <w:p w:rsidR="00767152" w:rsidRPr="00ED41C9" w:rsidRDefault="00767152" w:rsidP="00145105">
      <w:pPr>
        <w:pStyle w:val="EndnoteText"/>
        <w:jc w:val="both"/>
        <w:rPr>
          <w:rFonts w:cstheme="minorHAnsi"/>
          <w:sz w:val="18"/>
          <w:szCs w:val="18"/>
        </w:rPr>
      </w:pPr>
      <w:r w:rsidRPr="00ED41C9">
        <w:rPr>
          <w:rStyle w:val="EndnoteReference"/>
          <w:rFonts w:cstheme="minorHAnsi"/>
          <w:sz w:val="18"/>
          <w:szCs w:val="18"/>
        </w:rPr>
        <w:endnoteRef/>
      </w:r>
      <w:r w:rsidRPr="00ED41C9">
        <w:rPr>
          <w:rFonts w:cstheme="minorHAnsi"/>
          <w:sz w:val="18"/>
          <w:szCs w:val="18"/>
        </w:rPr>
        <w:t xml:space="preserve"> Données de septembre 2017 de l’Institut national de la statistique (INSEE)</w:t>
      </w:r>
    </w:p>
  </w:endnote>
  <w:endnote w:id="53">
    <w:p w:rsidR="00767152" w:rsidRPr="00145105" w:rsidRDefault="00767152" w:rsidP="00145105">
      <w:pPr>
        <w:jc w:val="both"/>
        <w:rPr>
          <w:rStyle w:val="Strong"/>
          <w:rFonts w:cstheme="minorHAnsi"/>
          <w:b w:val="0"/>
          <w:color w:val="000000" w:themeColor="text1"/>
          <w:sz w:val="18"/>
          <w:szCs w:val="18"/>
        </w:rPr>
      </w:pPr>
      <w:r w:rsidRPr="00145105">
        <w:rPr>
          <w:rStyle w:val="Strong"/>
          <w:rFonts w:cstheme="minorHAnsi"/>
          <w:b w:val="0"/>
          <w:color w:val="000000" w:themeColor="text1"/>
          <w:sz w:val="18"/>
          <w:szCs w:val="18"/>
          <w:vertAlign w:val="superscript"/>
        </w:rPr>
        <w:endnoteRef/>
      </w:r>
      <w:r w:rsidRPr="00145105">
        <w:rPr>
          <w:rStyle w:val="Strong"/>
          <w:rFonts w:cstheme="minorHAnsi"/>
          <w:b w:val="0"/>
          <w:color w:val="000000" w:themeColor="text1"/>
          <w:sz w:val="18"/>
          <w:szCs w:val="18"/>
          <w:vertAlign w:val="superscript"/>
        </w:rPr>
        <w:t xml:space="preserve"> </w:t>
      </w:r>
      <w:r w:rsidRPr="00145105">
        <w:rPr>
          <w:rStyle w:val="Strong"/>
          <w:rFonts w:cstheme="minorHAnsi"/>
          <w:b w:val="0"/>
          <w:color w:val="000000" w:themeColor="text1"/>
          <w:sz w:val="18"/>
          <w:szCs w:val="18"/>
        </w:rPr>
        <w:t xml:space="preserve">Caisse nationale de l'Assurance Maladie (Cnam), </w:t>
      </w:r>
      <w:r w:rsidRPr="00145105">
        <w:rPr>
          <w:rStyle w:val="Strong"/>
          <w:rFonts w:cstheme="minorHAnsi"/>
          <w:b w:val="0"/>
          <w:i/>
          <w:color w:val="000000" w:themeColor="text1"/>
          <w:sz w:val="18"/>
          <w:szCs w:val="18"/>
        </w:rPr>
        <w:t>Rapport au ministre chargé de la Sécurité sociale et au Parlement sur l’évolution des charges et des produits de</w:t>
      </w:r>
      <w:r w:rsidRPr="00145105">
        <w:rPr>
          <w:rStyle w:val="Strong"/>
          <w:rFonts w:cstheme="minorHAnsi"/>
          <w:i/>
          <w:color w:val="000000" w:themeColor="text1"/>
          <w:sz w:val="18"/>
          <w:szCs w:val="18"/>
        </w:rPr>
        <w:t xml:space="preserve"> </w:t>
      </w:r>
      <w:r w:rsidRPr="00145105">
        <w:rPr>
          <w:rStyle w:val="Strong"/>
          <w:rFonts w:cstheme="minorHAnsi"/>
          <w:b w:val="0"/>
          <w:i/>
          <w:color w:val="000000" w:themeColor="text1"/>
          <w:sz w:val="18"/>
          <w:szCs w:val="18"/>
        </w:rPr>
        <w:t>l’Assurance</w:t>
      </w:r>
      <w:r w:rsidRPr="00145105">
        <w:rPr>
          <w:rStyle w:val="Strong"/>
          <w:rFonts w:cstheme="minorHAnsi"/>
          <w:i/>
          <w:color w:val="000000" w:themeColor="text1"/>
          <w:sz w:val="18"/>
          <w:szCs w:val="18"/>
        </w:rPr>
        <w:t xml:space="preserve"> </w:t>
      </w:r>
      <w:r w:rsidRPr="00145105">
        <w:rPr>
          <w:rStyle w:val="Strong"/>
          <w:rFonts w:cstheme="minorHAnsi"/>
          <w:b w:val="0"/>
          <w:i/>
          <w:color w:val="000000" w:themeColor="text1"/>
          <w:sz w:val="18"/>
          <w:szCs w:val="18"/>
        </w:rPr>
        <w:t>Maladie au titre de 2020 (loi du 13 août 2004) - Améliorer la qualité du système de santé et maîtriser les dépenses, Propositions de l’Assurance Maladie pour 2020,</w:t>
      </w:r>
      <w:r w:rsidRPr="00145105">
        <w:rPr>
          <w:rStyle w:val="Strong"/>
          <w:rFonts w:cstheme="minorHAnsi"/>
          <w:b w:val="0"/>
          <w:color w:val="000000" w:themeColor="text1"/>
          <w:sz w:val="18"/>
          <w:szCs w:val="18"/>
        </w:rPr>
        <w:t xml:space="preserve"> Juillet 2019 </w:t>
      </w:r>
      <w:r>
        <w:rPr>
          <w:rStyle w:val="Strong"/>
          <w:rFonts w:cstheme="minorHAnsi"/>
          <w:b w:val="0"/>
          <w:color w:val="000000" w:themeColor="text1"/>
          <w:sz w:val="18"/>
          <w:szCs w:val="18"/>
        </w:rPr>
        <w:t xml:space="preserve"> </w:t>
      </w:r>
      <w:hyperlink r:id="rId17" w:history="1">
        <w:r w:rsidRPr="002747BE">
          <w:rPr>
            <w:rStyle w:val="Hyperlink"/>
            <w:rFonts w:cstheme="minorHAnsi"/>
            <w:sz w:val="18"/>
            <w:szCs w:val="18"/>
          </w:rPr>
          <w:t>https://www.ameli.fr/fileadmin/user_upload/documents/Rapport_Charges_et_produits_pour_2020.pdf</w:t>
        </w:r>
      </w:hyperlink>
      <w:r>
        <w:rPr>
          <w:rStyle w:val="Strong"/>
          <w:rFonts w:cstheme="minorHAnsi"/>
          <w:b w:val="0"/>
          <w:color w:val="000000" w:themeColor="text1"/>
          <w:sz w:val="18"/>
          <w:szCs w:val="18"/>
        </w:rPr>
        <w:t xml:space="preserve"> </w:t>
      </w:r>
    </w:p>
  </w:endnote>
  <w:endnote w:id="54">
    <w:p w:rsidR="00767152" w:rsidRPr="00ED41C9" w:rsidRDefault="00767152" w:rsidP="00145105">
      <w:pPr>
        <w:pStyle w:val="EndnoteText"/>
        <w:jc w:val="both"/>
        <w:rPr>
          <w:rStyle w:val="Strong"/>
          <w:rFonts w:cstheme="minorHAnsi"/>
          <w:b w:val="0"/>
          <w:color w:val="000000" w:themeColor="text1"/>
          <w:sz w:val="18"/>
          <w:szCs w:val="18"/>
        </w:rPr>
      </w:pPr>
      <w:r w:rsidRPr="00ED41C9">
        <w:rPr>
          <w:rStyle w:val="EndnoteReference"/>
          <w:rFonts w:cstheme="minorHAnsi"/>
          <w:sz w:val="18"/>
          <w:szCs w:val="18"/>
        </w:rPr>
        <w:endnoteRef/>
      </w:r>
      <w:r w:rsidRPr="00ED41C9">
        <w:rPr>
          <w:rFonts w:cstheme="minorHAnsi"/>
          <w:sz w:val="18"/>
          <w:szCs w:val="18"/>
        </w:rPr>
        <w:t xml:space="preserve"> </w:t>
      </w:r>
      <w:r w:rsidRPr="00ED41C9">
        <w:rPr>
          <w:rStyle w:val="Strong"/>
          <w:rFonts w:cstheme="minorHAnsi"/>
          <w:b w:val="0"/>
          <w:color w:val="000000" w:themeColor="text1"/>
          <w:sz w:val="18"/>
          <w:szCs w:val="18"/>
        </w:rPr>
        <w:t>Circulaire du 4 septembre 2012 relative à la prise en compte du handicap dans les projets de loi</w:t>
      </w:r>
    </w:p>
    <w:p w:rsidR="00767152" w:rsidRPr="00ED41C9" w:rsidRDefault="00767152" w:rsidP="00145105">
      <w:pPr>
        <w:pStyle w:val="EndnoteText"/>
        <w:jc w:val="both"/>
        <w:rPr>
          <w:rStyle w:val="Strong"/>
          <w:rFonts w:cstheme="minorHAnsi"/>
          <w:b w:val="0"/>
          <w:color w:val="000000" w:themeColor="text1"/>
          <w:sz w:val="18"/>
          <w:szCs w:val="18"/>
        </w:rPr>
      </w:pPr>
    </w:p>
    <w:p w:rsidR="00767152" w:rsidRPr="00ED41C9" w:rsidRDefault="00767152" w:rsidP="00145105">
      <w:pPr>
        <w:pStyle w:val="EndnoteText"/>
        <w:jc w:val="both"/>
        <w:rPr>
          <w:rFonts w:cstheme="minorHAnsi"/>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ree Rg">
    <w:altName w:val="Calibri"/>
    <w:panose1 w:val="00000000000000000000"/>
    <w:charset w:val="00"/>
    <w:family w:val="swiss"/>
    <w:notTrueType/>
    <w:pitch w:val="default"/>
    <w:sig w:usb0="00000003" w:usb1="00000000" w:usb2="00000000" w:usb3="00000000" w:csb0="00000001" w:csb1="00000000"/>
  </w:font>
  <w:font w:name="Bree Lt">
    <w:altName w:val="Bree L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386959"/>
      <w:docPartObj>
        <w:docPartGallery w:val="Page Numbers (Bottom of Page)"/>
        <w:docPartUnique/>
      </w:docPartObj>
    </w:sdtPr>
    <w:sdtEndPr/>
    <w:sdtContent>
      <w:p w:rsidR="00767152" w:rsidRDefault="00767152">
        <w:pPr>
          <w:pStyle w:val="Footer"/>
          <w:jc w:val="right"/>
        </w:pPr>
        <w:r>
          <w:fldChar w:fldCharType="begin"/>
        </w:r>
        <w:r>
          <w:instrText>PAGE   \* MERGEFORMAT</w:instrText>
        </w:r>
        <w:r>
          <w:fldChar w:fldCharType="separate"/>
        </w:r>
        <w:r w:rsidR="00C56C1C">
          <w:rPr>
            <w:noProof/>
          </w:rPr>
          <w:t>4</w:t>
        </w:r>
        <w:r>
          <w:fldChar w:fldCharType="end"/>
        </w:r>
      </w:p>
    </w:sdtContent>
  </w:sdt>
  <w:p w:rsidR="00767152" w:rsidRDefault="00767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8F4" w:rsidRDefault="008948F4" w:rsidP="00E14192">
      <w:pPr>
        <w:spacing w:line="240" w:lineRule="auto"/>
      </w:pPr>
      <w:r>
        <w:separator/>
      </w:r>
    </w:p>
  </w:footnote>
  <w:footnote w:type="continuationSeparator" w:id="0">
    <w:p w:rsidR="008948F4" w:rsidRDefault="008948F4" w:rsidP="00E141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152" w:rsidRDefault="0076715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A276B"/>
    <w:multiLevelType w:val="multilevel"/>
    <w:tmpl w:val="BA4E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76EDF"/>
    <w:multiLevelType w:val="multilevel"/>
    <w:tmpl w:val="56DA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5790F"/>
    <w:multiLevelType w:val="hybridMultilevel"/>
    <w:tmpl w:val="A860FEAC"/>
    <w:lvl w:ilvl="0" w:tplc="2D34A91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A5338D"/>
    <w:multiLevelType w:val="multilevel"/>
    <w:tmpl w:val="CB5C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3570E"/>
    <w:multiLevelType w:val="hybridMultilevel"/>
    <w:tmpl w:val="FCC826B2"/>
    <w:lvl w:ilvl="0" w:tplc="F78C45AE">
      <w:numFmt w:val="bullet"/>
      <w:lvlText w:val="-"/>
      <w:lvlJc w:val="left"/>
      <w:pPr>
        <w:ind w:left="720" w:hanging="360"/>
      </w:pPr>
      <w:rPr>
        <w:rFonts w:ascii="Calibri" w:eastAsiaTheme="minorHAnsi" w:hAnsi="Calibri" w:cstheme="minorBidi"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1D68C6"/>
    <w:multiLevelType w:val="hybridMultilevel"/>
    <w:tmpl w:val="6E86931C"/>
    <w:lvl w:ilvl="0" w:tplc="040C000F">
      <w:start w:val="1"/>
      <w:numFmt w:val="decimal"/>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6" w15:restartNumberingAfterBreak="0">
    <w:nsid w:val="34A013BF"/>
    <w:multiLevelType w:val="hybridMultilevel"/>
    <w:tmpl w:val="4232CEB2"/>
    <w:lvl w:ilvl="0" w:tplc="F42829BA">
      <w:start w:val="3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1C150C"/>
    <w:multiLevelType w:val="multilevel"/>
    <w:tmpl w:val="241A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6F4A33"/>
    <w:multiLevelType w:val="hybridMultilevel"/>
    <w:tmpl w:val="2E18CFE0"/>
    <w:lvl w:ilvl="0" w:tplc="040C0001">
      <w:start w:val="1"/>
      <w:numFmt w:val="bullet"/>
      <w:lvlText w:val=""/>
      <w:lvlJc w:val="left"/>
      <w:pPr>
        <w:ind w:left="1080" w:hanging="360"/>
      </w:pPr>
      <w:rPr>
        <w:rFonts w:ascii="Symbol" w:hAnsi="Symbol"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419525D8"/>
    <w:multiLevelType w:val="multilevel"/>
    <w:tmpl w:val="FCC826B2"/>
    <w:lvl w:ilvl="0">
      <w:numFmt w:val="bullet"/>
      <w:lvlText w:val="-"/>
      <w:lvlJc w:val="left"/>
      <w:pPr>
        <w:ind w:left="720" w:hanging="360"/>
      </w:pPr>
      <w:rPr>
        <w:rFonts w:ascii="Calibri" w:eastAsiaTheme="minorHAnsi" w:hAnsi="Calibri" w:cstheme="minorBidi"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3531C1F"/>
    <w:multiLevelType w:val="hybridMultilevel"/>
    <w:tmpl w:val="FA566F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42E4E49"/>
    <w:multiLevelType w:val="hybridMultilevel"/>
    <w:tmpl w:val="12769A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8C1A94"/>
    <w:multiLevelType w:val="multilevel"/>
    <w:tmpl w:val="9CD04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226A82"/>
    <w:multiLevelType w:val="multilevel"/>
    <w:tmpl w:val="89C4ABC6"/>
    <w:lvl w:ilvl="0">
      <w:start w:val="3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DB40D5B"/>
    <w:multiLevelType w:val="hybridMultilevel"/>
    <w:tmpl w:val="DF569052"/>
    <w:lvl w:ilvl="0" w:tplc="28EC3CFC">
      <w:numFmt w:val="bullet"/>
      <w:lvlText w:val="-"/>
      <w:lvlJc w:val="left"/>
      <w:pPr>
        <w:ind w:left="7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6CF4E6C"/>
    <w:multiLevelType w:val="hybridMultilevel"/>
    <w:tmpl w:val="AE50C6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3079E0"/>
    <w:multiLevelType w:val="hybridMultilevel"/>
    <w:tmpl w:val="5596D9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FDC2151"/>
    <w:multiLevelType w:val="hybridMultilevel"/>
    <w:tmpl w:val="8F82F582"/>
    <w:lvl w:ilvl="0" w:tplc="040C0015">
      <w:start w:val="1"/>
      <w:numFmt w:val="upperLetter"/>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0A07046"/>
    <w:multiLevelType w:val="multilevel"/>
    <w:tmpl w:val="1ACC6096"/>
    <w:lvl w:ilvl="0">
      <w:start w:val="1"/>
      <w:numFmt w:val="bullet"/>
      <w:lvlText w:val="-"/>
      <w:lvlJc w:val="left"/>
      <w:pPr>
        <w:tabs>
          <w:tab w:val="num" w:pos="720"/>
        </w:tabs>
        <w:ind w:left="720" w:hanging="360"/>
      </w:pPr>
      <w:rPr>
        <w:rFonts w:ascii="Calibri" w:eastAsia="Times New Roman" w:hAnsi="Calibri" w:cs="Calibri"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685257"/>
    <w:multiLevelType w:val="hybridMultilevel"/>
    <w:tmpl w:val="6160187A"/>
    <w:lvl w:ilvl="0" w:tplc="2558EA4E">
      <w:start w:val="22"/>
      <w:numFmt w:val="bullet"/>
      <w:lvlText w:val="-"/>
      <w:lvlJc w:val="left"/>
      <w:pPr>
        <w:ind w:left="720" w:hanging="360"/>
      </w:pPr>
      <w:rPr>
        <w:rFonts w:ascii="Calibri" w:eastAsiaTheme="minorHAnsi" w:hAnsi="Calibri" w:cs="Calibri" w:hint="default"/>
        <w:b/>
        <w:color w:val="00000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16"/>
  </w:num>
  <w:num w:numId="4">
    <w:abstractNumId w:val="6"/>
  </w:num>
  <w:num w:numId="5">
    <w:abstractNumId w:val="10"/>
  </w:num>
  <w:num w:numId="6">
    <w:abstractNumId w:val="18"/>
  </w:num>
  <w:num w:numId="7">
    <w:abstractNumId w:val="0"/>
  </w:num>
  <w:num w:numId="8">
    <w:abstractNumId w:val="1"/>
  </w:num>
  <w:num w:numId="9">
    <w:abstractNumId w:val="7"/>
  </w:num>
  <w:num w:numId="10">
    <w:abstractNumId w:val="12"/>
  </w:num>
  <w:num w:numId="11">
    <w:abstractNumId w:val="3"/>
  </w:num>
  <w:num w:numId="12">
    <w:abstractNumId w:val="2"/>
  </w:num>
  <w:num w:numId="13">
    <w:abstractNumId w:val="4"/>
  </w:num>
  <w:num w:numId="14">
    <w:abstractNumId w:val="14"/>
  </w:num>
  <w:num w:numId="15">
    <w:abstractNumId w:val="11"/>
  </w:num>
  <w:num w:numId="16">
    <w:abstractNumId w:val="13"/>
  </w:num>
  <w:num w:numId="17">
    <w:abstractNumId w:val="15"/>
  </w:num>
  <w:num w:numId="18">
    <w:abstractNumId w:val="19"/>
  </w:num>
  <w:num w:numId="19">
    <w:abstractNumId w:val="10"/>
  </w:num>
  <w:num w:numId="20">
    <w:abstractNumId w:val="5"/>
  </w:num>
  <w:num w:numId="21">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192"/>
    <w:rsid w:val="0000089D"/>
    <w:rsid w:val="000011BA"/>
    <w:rsid w:val="00010D6F"/>
    <w:rsid w:val="00011FF5"/>
    <w:rsid w:val="000130BA"/>
    <w:rsid w:val="00014D7E"/>
    <w:rsid w:val="00014D90"/>
    <w:rsid w:val="00024C55"/>
    <w:rsid w:val="00025499"/>
    <w:rsid w:val="000269A0"/>
    <w:rsid w:val="00027EF9"/>
    <w:rsid w:val="00033203"/>
    <w:rsid w:val="0003707F"/>
    <w:rsid w:val="0004053E"/>
    <w:rsid w:val="000436D5"/>
    <w:rsid w:val="0004474B"/>
    <w:rsid w:val="00045999"/>
    <w:rsid w:val="00046EAC"/>
    <w:rsid w:val="00050B1E"/>
    <w:rsid w:val="00051C36"/>
    <w:rsid w:val="00052685"/>
    <w:rsid w:val="000543FB"/>
    <w:rsid w:val="0005660B"/>
    <w:rsid w:val="00057612"/>
    <w:rsid w:val="00061EE1"/>
    <w:rsid w:val="00063001"/>
    <w:rsid w:val="00066FC7"/>
    <w:rsid w:val="0007226A"/>
    <w:rsid w:val="00075777"/>
    <w:rsid w:val="000809F3"/>
    <w:rsid w:val="00081864"/>
    <w:rsid w:val="00082045"/>
    <w:rsid w:val="00086B67"/>
    <w:rsid w:val="00087B6F"/>
    <w:rsid w:val="00090B87"/>
    <w:rsid w:val="000A17B7"/>
    <w:rsid w:val="000A3401"/>
    <w:rsid w:val="000B43F0"/>
    <w:rsid w:val="000B589A"/>
    <w:rsid w:val="000C10DA"/>
    <w:rsid w:val="000C29D5"/>
    <w:rsid w:val="000C4D03"/>
    <w:rsid w:val="000C55DA"/>
    <w:rsid w:val="000C5A1F"/>
    <w:rsid w:val="000C7A5D"/>
    <w:rsid w:val="000D28B3"/>
    <w:rsid w:val="000D6757"/>
    <w:rsid w:val="000D7F9D"/>
    <w:rsid w:val="000E6383"/>
    <w:rsid w:val="000E7479"/>
    <w:rsid w:val="000F6B39"/>
    <w:rsid w:val="00104F31"/>
    <w:rsid w:val="00115133"/>
    <w:rsid w:val="00117782"/>
    <w:rsid w:val="0012271D"/>
    <w:rsid w:val="00124082"/>
    <w:rsid w:val="00124171"/>
    <w:rsid w:val="00124DBC"/>
    <w:rsid w:val="0013074C"/>
    <w:rsid w:val="001333D5"/>
    <w:rsid w:val="00134FCE"/>
    <w:rsid w:val="00135363"/>
    <w:rsid w:val="00137D15"/>
    <w:rsid w:val="00142829"/>
    <w:rsid w:val="00143FE5"/>
    <w:rsid w:val="00145105"/>
    <w:rsid w:val="001479D0"/>
    <w:rsid w:val="001549D9"/>
    <w:rsid w:val="001550BB"/>
    <w:rsid w:val="00162A92"/>
    <w:rsid w:val="00165CF5"/>
    <w:rsid w:val="00171500"/>
    <w:rsid w:val="00181EC2"/>
    <w:rsid w:val="00190BDE"/>
    <w:rsid w:val="00191561"/>
    <w:rsid w:val="00191C1B"/>
    <w:rsid w:val="00195C18"/>
    <w:rsid w:val="00197109"/>
    <w:rsid w:val="001A016D"/>
    <w:rsid w:val="001A090E"/>
    <w:rsid w:val="001A0E42"/>
    <w:rsid w:val="001A32F3"/>
    <w:rsid w:val="001B0B54"/>
    <w:rsid w:val="001B150B"/>
    <w:rsid w:val="001B419D"/>
    <w:rsid w:val="001B4DC0"/>
    <w:rsid w:val="001C0FAA"/>
    <w:rsid w:val="001C1761"/>
    <w:rsid w:val="001D2E2C"/>
    <w:rsid w:val="001D3C5D"/>
    <w:rsid w:val="001D6234"/>
    <w:rsid w:val="001D7A0A"/>
    <w:rsid w:val="001E0ABA"/>
    <w:rsid w:val="001E26C4"/>
    <w:rsid w:val="001E4013"/>
    <w:rsid w:val="001E4280"/>
    <w:rsid w:val="001E4944"/>
    <w:rsid w:val="001F3F11"/>
    <w:rsid w:val="001F4102"/>
    <w:rsid w:val="001F4103"/>
    <w:rsid w:val="001F43E9"/>
    <w:rsid w:val="001F5320"/>
    <w:rsid w:val="001F667F"/>
    <w:rsid w:val="00204452"/>
    <w:rsid w:val="00205002"/>
    <w:rsid w:val="00207B28"/>
    <w:rsid w:val="0021309E"/>
    <w:rsid w:val="00213228"/>
    <w:rsid w:val="00216D74"/>
    <w:rsid w:val="002176D5"/>
    <w:rsid w:val="00222633"/>
    <w:rsid w:val="00224A7C"/>
    <w:rsid w:val="00224B12"/>
    <w:rsid w:val="00233A7A"/>
    <w:rsid w:val="002357A3"/>
    <w:rsid w:val="00235D3C"/>
    <w:rsid w:val="00235DA3"/>
    <w:rsid w:val="00236B37"/>
    <w:rsid w:val="00237A40"/>
    <w:rsid w:val="00240941"/>
    <w:rsid w:val="00240A1B"/>
    <w:rsid w:val="00241573"/>
    <w:rsid w:val="00244CAC"/>
    <w:rsid w:val="00247673"/>
    <w:rsid w:val="0024799C"/>
    <w:rsid w:val="002540EF"/>
    <w:rsid w:val="00257D93"/>
    <w:rsid w:val="00265362"/>
    <w:rsid w:val="00265402"/>
    <w:rsid w:val="002705E9"/>
    <w:rsid w:val="002706B7"/>
    <w:rsid w:val="00271233"/>
    <w:rsid w:val="002716DC"/>
    <w:rsid w:val="002727AC"/>
    <w:rsid w:val="00274DBB"/>
    <w:rsid w:val="00276AD7"/>
    <w:rsid w:val="0027714D"/>
    <w:rsid w:val="00280326"/>
    <w:rsid w:val="00291464"/>
    <w:rsid w:val="00291ED1"/>
    <w:rsid w:val="002954C7"/>
    <w:rsid w:val="00296907"/>
    <w:rsid w:val="0029733C"/>
    <w:rsid w:val="002A01B7"/>
    <w:rsid w:val="002A2434"/>
    <w:rsid w:val="002A31D2"/>
    <w:rsid w:val="002A6084"/>
    <w:rsid w:val="002A7CA3"/>
    <w:rsid w:val="002A7D41"/>
    <w:rsid w:val="002B018A"/>
    <w:rsid w:val="002C1D4D"/>
    <w:rsid w:val="002C74EA"/>
    <w:rsid w:val="002D2598"/>
    <w:rsid w:val="002D2A27"/>
    <w:rsid w:val="002D355F"/>
    <w:rsid w:val="002D7459"/>
    <w:rsid w:val="002E0FF1"/>
    <w:rsid w:val="002E1090"/>
    <w:rsid w:val="002E1CF4"/>
    <w:rsid w:val="002E3B27"/>
    <w:rsid w:val="002E5536"/>
    <w:rsid w:val="002E79F4"/>
    <w:rsid w:val="002E7CDD"/>
    <w:rsid w:val="002F4FDE"/>
    <w:rsid w:val="002F64CA"/>
    <w:rsid w:val="00305D6E"/>
    <w:rsid w:val="00305E64"/>
    <w:rsid w:val="0031742C"/>
    <w:rsid w:val="00322868"/>
    <w:rsid w:val="003251E9"/>
    <w:rsid w:val="0032677B"/>
    <w:rsid w:val="00330052"/>
    <w:rsid w:val="003435EA"/>
    <w:rsid w:val="00345F37"/>
    <w:rsid w:val="00346B64"/>
    <w:rsid w:val="003476EB"/>
    <w:rsid w:val="00347E8C"/>
    <w:rsid w:val="0035078F"/>
    <w:rsid w:val="00351D28"/>
    <w:rsid w:val="003529C4"/>
    <w:rsid w:val="0035545A"/>
    <w:rsid w:val="003606F0"/>
    <w:rsid w:val="003672B8"/>
    <w:rsid w:val="00367906"/>
    <w:rsid w:val="00371CF0"/>
    <w:rsid w:val="00373952"/>
    <w:rsid w:val="003739C4"/>
    <w:rsid w:val="00373C0E"/>
    <w:rsid w:val="00376B6F"/>
    <w:rsid w:val="00380D9C"/>
    <w:rsid w:val="00382D62"/>
    <w:rsid w:val="003835EB"/>
    <w:rsid w:val="00383E57"/>
    <w:rsid w:val="00384979"/>
    <w:rsid w:val="00385B09"/>
    <w:rsid w:val="00387824"/>
    <w:rsid w:val="00393BDF"/>
    <w:rsid w:val="0039445A"/>
    <w:rsid w:val="00395B3E"/>
    <w:rsid w:val="003A2B44"/>
    <w:rsid w:val="003A2D68"/>
    <w:rsid w:val="003A36DE"/>
    <w:rsid w:val="003A373D"/>
    <w:rsid w:val="003A3D9A"/>
    <w:rsid w:val="003A76A0"/>
    <w:rsid w:val="003B5530"/>
    <w:rsid w:val="003B5F59"/>
    <w:rsid w:val="003B6854"/>
    <w:rsid w:val="003C0823"/>
    <w:rsid w:val="003C1576"/>
    <w:rsid w:val="003C3E06"/>
    <w:rsid w:val="003C44B3"/>
    <w:rsid w:val="003C49B4"/>
    <w:rsid w:val="003C6019"/>
    <w:rsid w:val="003C79B8"/>
    <w:rsid w:val="003D2E41"/>
    <w:rsid w:val="003D323B"/>
    <w:rsid w:val="003F482F"/>
    <w:rsid w:val="003F4ADB"/>
    <w:rsid w:val="00402897"/>
    <w:rsid w:val="00402D5D"/>
    <w:rsid w:val="00403656"/>
    <w:rsid w:val="00414BAC"/>
    <w:rsid w:val="0041762F"/>
    <w:rsid w:val="00420253"/>
    <w:rsid w:val="00421263"/>
    <w:rsid w:val="00423AFB"/>
    <w:rsid w:val="00423D82"/>
    <w:rsid w:val="00423F68"/>
    <w:rsid w:val="0042452A"/>
    <w:rsid w:val="00426379"/>
    <w:rsid w:val="0042641E"/>
    <w:rsid w:val="004279B5"/>
    <w:rsid w:val="00430A62"/>
    <w:rsid w:val="00430AB8"/>
    <w:rsid w:val="00433098"/>
    <w:rsid w:val="00436195"/>
    <w:rsid w:val="00441EB9"/>
    <w:rsid w:val="0044249E"/>
    <w:rsid w:val="0044312A"/>
    <w:rsid w:val="00445E73"/>
    <w:rsid w:val="004509A4"/>
    <w:rsid w:val="00450A10"/>
    <w:rsid w:val="004526C6"/>
    <w:rsid w:val="00454EFA"/>
    <w:rsid w:val="00463002"/>
    <w:rsid w:val="004653EE"/>
    <w:rsid w:val="004654EE"/>
    <w:rsid w:val="00466D07"/>
    <w:rsid w:val="00472066"/>
    <w:rsid w:val="00472FD7"/>
    <w:rsid w:val="00473DA3"/>
    <w:rsid w:val="0047645D"/>
    <w:rsid w:val="004823B3"/>
    <w:rsid w:val="00482DD2"/>
    <w:rsid w:val="00484E88"/>
    <w:rsid w:val="00497002"/>
    <w:rsid w:val="004A011B"/>
    <w:rsid w:val="004A2813"/>
    <w:rsid w:val="004A2ECE"/>
    <w:rsid w:val="004A6710"/>
    <w:rsid w:val="004A6E68"/>
    <w:rsid w:val="004B19D6"/>
    <w:rsid w:val="004B6B34"/>
    <w:rsid w:val="004B6B80"/>
    <w:rsid w:val="004B6E3D"/>
    <w:rsid w:val="004C0157"/>
    <w:rsid w:val="004C58E5"/>
    <w:rsid w:val="004C5B40"/>
    <w:rsid w:val="004D35A6"/>
    <w:rsid w:val="004D490D"/>
    <w:rsid w:val="004D5882"/>
    <w:rsid w:val="004E242D"/>
    <w:rsid w:val="004E5D03"/>
    <w:rsid w:val="004E6748"/>
    <w:rsid w:val="004E7115"/>
    <w:rsid w:val="004F19ED"/>
    <w:rsid w:val="004F34A7"/>
    <w:rsid w:val="004F6440"/>
    <w:rsid w:val="004F7798"/>
    <w:rsid w:val="00500CB9"/>
    <w:rsid w:val="00503414"/>
    <w:rsid w:val="00503FBE"/>
    <w:rsid w:val="00504563"/>
    <w:rsid w:val="00517D59"/>
    <w:rsid w:val="0052153B"/>
    <w:rsid w:val="0052209C"/>
    <w:rsid w:val="00522AF9"/>
    <w:rsid w:val="00523004"/>
    <w:rsid w:val="00527BE0"/>
    <w:rsid w:val="00532080"/>
    <w:rsid w:val="005328B3"/>
    <w:rsid w:val="00535584"/>
    <w:rsid w:val="00537664"/>
    <w:rsid w:val="005410CC"/>
    <w:rsid w:val="005416B0"/>
    <w:rsid w:val="0054189A"/>
    <w:rsid w:val="005430B3"/>
    <w:rsid w:val="005444D3"/>
    <w:rsid w:val="00550074"/>
    <w:rsid w:val="00554620"/>
    <w:rsid w:val="00556DE4"/>
    <w:rsid w:val="00562E37"/>
    <w:rsid w:val="005646E8"/>
    <w:rsid w:val="00565C0A"/>
    <w:rsid w:val="00565D6D"/>
    <w:rsid w:val="00567214"/>
    <w:rsid w:val="00572833"/>
    <w:rsid w:val="00573358"/>
    <w:rsid w:val="00574722"/>
    <w:rsid w:val="00586B7E"/>
    <w:rsid w:val="00587A9F"/>
    <w:rsid w:val="0059574F"/>
    <w:rsid w:val="005A18CE"/>
    <w:rsid w:val="005A1ACC"/>
    <w:rsid w:val="005A29C7"/>
    <w:rsid w:val="005A3353"/>
    <w:rsid w:val="005B283C"/>
    <w:rsid w:val="005B4B4D"/>
    <w:rsid w:val="005C0D67"/>
    <w:rsid w:val="005C0FD9"/>
    <w:rsid w:val="005C7697"/>
    <w:rsid w:val="005C7AC8"/>
    <w:rsid w:val="005D5445"/>
    <w:rsid w:val="005D5FF7"/>
    <w:rsid w:val="005E0FFE"/>
    <w:rsid w:val="005E664B"/>
    <w:rsid w:val="005F361B"/>
    <w:rsid w:val="005F3DF2"/>
    <w:rsid w:val="005F56AC"/>
    <w:rsid w:val="00600417"/>
    <w:rsid w:val="00607824"/>
    <w:rsid w:val="00612229"/>
    <w:rsid w:val="006122FA"/>
    <w:rsid w:val="00617A58"/>
    <w:rsid w:val="00620F9B"/>
    <w:rsid w:val="00621477"/>
    <w:rsid w:val="0062297E"/>
    <w:rsid w:val="00626304"/>
    <w:rsid w:val="006272A4"/>
    <w:rsid w:val="00627AA9"/>
    <w:rsid w:val="006307C7"/>
    <w:rsid w:val="00630933"/>
    <w:rsid w:val="0063464C"/>
    <w:rsid w:val="00635F93"/>
    <w:rsid w:val="006407FB"/>
    <w:rsid w:val="00643139"/>
    <w:rsid w:val="006511F5"/>
    <w:rsid w:val="006538B7"/>
    <w:rsid w:val="00654B03"/>
    <w:rsid w:val="00654B12"/>
    <w:rsid w:val="00657C7C"/>
    <w:rsid w:val="0066197A"/>
    <w:rsid w:val="00663E0D"/>
    <w:rsid w:val="0066636A"/>
    <w:rsid w:val="00666884"/>
    <w:rsid w:val="00670019"/>
    <w:rsid w:val="0067204D"/>
    <w:rsid w:val="00674620"/>
    <w:rsid w:val="00674F4E"/>
    <w:rsid w:val="00676B3B"/>
    <w:rsid w:val="00682565"/>
    <w:rsid w:val="00682E5E"/>
    <w:rsid w:val="006832DF"/>
    <w:rsid w:val="00685995"/>
    <w:rsid w:val="00685B74"/>
    <w:rsid w:val="00687547"/>
    <w:rsid w:val="006879C9"/>
    <w:rsid w:val="0069126F"/>
    <w:rsid w:val="00692249"/>
    <w:rsid w:val="006926EB"/>
    <w:rsid w:val="006938ED"/>
    <w:rsid w:val="00695F69"/>
    <w:rsid w:val="00696096"/>
    <w:rsid w:val="00696C65"/>
    <w:rsid w:val="0069740F"/>
    <w:rsid w:val="006A0355"/>
    <w:rsid w:val="006A285A"/>
    <w:rsid w:val="006A2A59"/>
    <w:rsid w:val="006A43A5"/>
    <w:rsid w:val="006A49B6"/>
    <w:rsid w:val="006A6CEE"/>
    <w:rsid w:val="006B2498"/>
    <w:rsid w:val="006B2F7B"/>
    <w:rsid w:val="006B65D4"/>
    <w:rsid w:val="006C07D4"/>
    <w:rsid w:val="006C39CB"/>
    <w:rsid w:val="006C5C0A"/>
    <w:rsid w:val="006C7D3D"/>
    <w:rsid w:val="006D21CA"/>
    <w:rsid w:val="006D296F"/>
    <w:rsid w:val="006D40C6"/>
    <w:rsid w:val="006D4137"/>
    <w:rsid w:val="006D44F2"/>
    <w:rsid w:val="006D48AA"/>
    <w:rsid w:val="006D4F12"/>
    <w:rsid w:val="006D5D83"/>
    <w:rsid w:val="006E11BF"/>
    <w:rsid w:val="006E1C3A"/>
    <w:rsid w:val="006E53B4"/>
    <w:rsid w:val="006F3F8F"/>
    <w:rsid w:val="006F70A4"/>
    <w:rsid w:val="00700402"/>
    <w:rsid w:val="00700AB1"/>
    <w:rsid w:val="007025AB"/>
    <w:rsid w:val="00704623"/>
    <w:rsid w:val="007051E6"/>
    <w:rsid w:val="00706845"/>
    <w:rsid w:val="007078DB"/>
    <w:rsid w:val="00710FDC"/>
    <w:rsid w:val="00711142"/>
    <w:rsid w:val="007147C2"/>
    <w:rsid w:val="0072103C"/>
    <w:rsid w:val="007219DF"/>
    <w:rsid w:val="007227BF"/>
    <w:rsid w:val="00722DC4"/>
    <w:rsid w:val="0072365E"/>
    <w:rsid w:val="00723BD1"/>
    <w:rsid w:val="00725E76"/>
    <w:rsid w:val="00732AA0"/>
    <w:rsid w:val="00733B58"/>
    <w:rsid w:val="00737CA2"/>
    <w:rsid w:val="007433FC"/>
    <w:rsid w:val="00746C89"/>
    <w:rsid w:val="00747A2D"/>
    <w:rsid w:val="00750E46"/>
    <w:rsid w:val="00751546"/>
    <w:rsid w:val="00751CDA"/>
    <w:rsid w:val="00751EC3"/>
    <w:rsid w:val="00753E4D"/>
    <w:rsid w:val="00756664"/>
    <w:rsid w:val="00757104"/>
    <w:rsid w:val="00761BA6"/>
    <w:rsid w:val="00762243"/>
    <w:rsid w:val="00762B97"/>
    <w:rsid w:val="00762E3E"/>
    <w:rsid w:val="007631F9"/>
    <w:rsid w:val="00764240"/>
    <w:rsid w:val="00765200"/>
    <w:rsid w:val="00765DF4"/>
    <w:rsid w:val="00767152"/>
    <w:rsid w:val="0077103C"/>
    <w:rsid w:val="00772AA5"/>
    <w:rsid w:val="00772E74"/>
    <w:rsid w:val="00774F50"/>
    <w:rsid w:val="00781E78"/>
    <w:rsid w:val="00783CE5"/>
    <w:rsid w:val="007926DC"/>
    <w:rsid w:val="0079357B"/>
    <w:rsid w:val="00796572"/>
    <w:rsid w:val="00797536"/>
    <w:rsid w:val="0079772F"/>
    <w:rsid w:val="007A5053"/>
    <w:rsid w:val="007A5ACB"/>
    <w:rsid w:val="007B0BBD"/>
    <w:rsid w:val="007B3031"/>
    <w:rsid w:val="007B4704"/>
    <w:rsid w:val="007B6ED7"/>
    <w:rsid w:val="007C1E5F"/>
    <w:rsid w:val="007C249A"/>
    <w:rsid w:val="007C4399"/>
    <w:rsid w:val="007C592E"/>
    <w:rsid w:val="007C5EAC"/>
    <w:rsid w:val="007C5F52"/>
    <w:rsid w:val="007C7589"/>
    <w:rsid w:val="007D067F"/>
    <w:rsid w:val="007D29B7"/>
    <w:rsid w:val="007D36AD"/>
    <w:rsid w:val="007D64BE"/>
    <w:rsid w:val="007D75B0"/>
    <w:rsid w:val="007E0299"/>
    <w:rsid w:val="007E1E5A"/>
    <w:rsid w:val="007E3327"/>
    <w:rsid w:val="007E54B6"/>
    <w:rsid w:val="007F1B68"/>
    <w:rsid w:val="007F416E"/>
    <w:rsid w:val="007F778F"/>
    <w:rsid w:val="00800151"/>
    <w:rsid w:val="008020AB"/>
    <w:rsid w:val="0081000F"/>
    <w:rsid w:val="008126A3"/>
    <w:rsid w:val="0081482E"/>
    <w:rsid w:val="00816728"/>
    <w:rsid w:val="00816B63"/>
    <w:rsid w:val="008234AB"/>
    <w:rsid w:val="00824FEE"/>
    <w:rsid w:val="00826528"/>
    <w:rsid w:val="008321D5"/>
    <w:rsid w:val="008330AF"/>
    <w:rsid w:val="008354E1"/>
    <w:rsid w:val="0083629A"/>
    <w:rsid w:val="00836D45"/>
    <w:rsid w:val="0083782C"/>
    <w:rsid w:val="0084325F"/>
    <w:rsid w:val="008529B7"/>
    <w:rsid w:val="00854D6C"/>
    <w:rsid w:val="00856BDF"/>
    <w:rsid w:val="00857AF3"/>
    <w:rsid w:val="00857D98"/>
    <w:rsid w:val="008609B9"/>
    <w:rsid w:val="0086281A"/>
    <w:rsid w:val="008636D4"/>
    <w:rsid w:val="00866FD1"/>
    <w:rsid w:val="00874454"/>
    <w:rsid w:val="00874C2F"/>
    <w:rsid w:val="008765FA"/>
    <w:rsid w:val="00877A99"/>
    <w:rsid w:val="0088331B"/>
    <w:rsid w:val="008836DD"/>
    <w:rsid w:val="00883990"/>
    <w:rsid w:val="00887680"/>
    <w:rsid w:val="00887956"/>
    <w:rsid w:val="00887BB2"/>
    <w:rsid w:val="0089117A"/>
    <w:rsid w:val="0089123A"/>
    <w:rsid w:val="00892CAD"/>
    <w:rsid w:val="008948F4"/>
    <w:rsid w:val="008A285C"/>
    <w:rsid w:val="008A3AC1"/>
    <w:rsid w:val="008A536B"/>
    <w:rsid w:val="008A552B"/>
    <w:rsid w:val="008A5809"/>
    <w:rsid w:val="008A59ED"/>
    <w:rsid w:val="008A6231"/>
    <w:rsid w:val="008A6440"/>
    <w:rsid w:val="008B09F3"/>
    <w:rsid w:val="008B1081"/>
    <w:rsid w:val="008B1219"/>
    <w:rsid w:val="008B532C"/>
    <w:rsid w:val="008B774F"/>
    <w:rsid w:val="008B7C2A"/>
    <w:rsid w:val="008B7E83"/>
    <w:rsid w:val="008C04A4"/>
    <w:rsid w:val="008C2D19"/>
    <w:rsid w:val="008C6B75"/>
    <w:rsid w:val="008D002C"/>
    <w:rsid w:val="008D3671"/>
    <w:rsid w:val="008D741D"/>
    <w:rsid w:val="008E0F56"/>
    <w:rsid w:val="008E582D"/>
    <w:rsid w:val="008E58E7"/>
    <w:rsid w:val="008F02E9"/>
    <w:rsid w:val="008F1E1F"/>
    <w:rsid w:val="008F2E55"/>
    <w:rsid w:val="008F357D"/>
    <w:rsid w:val="008F3795"/>
    <w:rsid w:val="008F6536"/>
    <w:rsid w:val="008F6C2A"/>
    <w:rsid w:val="009024AF"/>
    <w:rsid w:val="00912518"/>
    <w:rsid w:val="00912D62"/>
    <w:rsid w:val="009254F7"/>
    <w:rsid w:val="00927C32"/>
    <w:rsid w:val="00927F04"/>
    <w:rsid w:val="009318D8"/>
    <w:rsid w:val="00931C3C"/>
    <w:rsid w:val="009340FC"/>
    <w:rsid w:val="0093499C"/>
    <w:rsid w:val="00936541"/>
    <w:rsid w:val="009423A9"/>
    <w:rsid w:val="00945F2F"/>
    <w:rsid w:val="00946E1E"/>
    <w:rsid w:val="009470CA"/>
    <w:rsid w:val="00952F51"/>
    <w:rsid w:val="00957CD7"/>
    <w:rsid w:val="00964B5A"/>
    <w:rsid w:val="00973560"/>
    <w:rsid w:val="00981198"/>
    <w:rsid w:val="009819AB"/>
    <w:rsid w:val="00983BD5"/>
    <w:rsid w:val="0099169F"/>
    <w:rsid w:val="00993180"/>
    <w:rsid w:val="0099394A"/>
    <w:rsid w:val="009956A7"/>
    <w:rsid w:val="00995E08"/>
    <w:rsid w:val="009A5CDE"/>
    <w:rsid w:val="009B5807"/>
    <w:rsid w:val="009B748B"/>
    <w:rsid w:val="009B7C6D"/>
    <w:rsid w:val="009C13E8"/>
    <w:rsid w:val="009C2120"/>
    <w:rsid w:val="009C425A"/>
    <w:rsid w:val="009C5804"/>
    <w:rsid w:val="009C733F"/>
    <w:rsid w:val="009D07C7"/>
    <w:rsid w:val="009D328B"/>
    <w:rsid w:val="009D4B01"/>
    <w:rsid w:val="009D4E69"/>
    <w:rsid w:val="009D7BA5"/>
    <w:rsid w:val="009D7E00"/>
    <w:rsid w:val="009E4BF1"/>
    <w:rsid w:val="009F14FB"/>
    <w:rsid w:val="009F1E9D"/>
    <w:rsid w:val="009F2B7B"/>
    <w:rsid w:val="009F6D6F"/>
    <w:rsid w:val="009F6F18"/>
    <w:rsid w:val="009F7086"/>
    <w:rsid w:val="009F721A"/>
    <w:rsid w:val="00A00E84"/>
    <w:rsid w:val="00A00F3A"/>
    <w:rsid w:val="00A0302E"/>
    <w:rsid w:val="00A045B5"/>
    <w:rsid w:val="00A04CFD"/>
    <w:rsid w:val="00A04F08"/>
    <w:rsid w:val="00A05931"/>
    <w:rsid w:val="00A11A9D"/>
    <w:rsid w:val="00A1263D"/>
    <w:rsid w:val="00A128AC"/>
    <w:rsid w:val="00A151E6"/>
    <w:rsid w:val="00A17548"/>
    <w:rsid w:val="00A24F95"/>
    <w:rsid w:val="00A30912"/>
    <w:rsid w:val="00A34549"/>
    <w:rsid w:val="00A3505F"/>
    <w:rsid w:val="00A35121"/>
    <w:rsid w:val="00A35860"/>
    <w:rsid w:val="00A3607D"/>
    <w:rsid w:val="00A370FC"/>
    <w:rsid w:val="00A37E7A"/>
    <w:rsid w:val="00A41F3A"/>
    <w:rsid w:val="00A43B18"/>
    <w:rsid w:val="00A475FC"/>
    <w:rsid w:val="00A538B6"/>
    <w:rsid w:val="00A54336"/>
    <w:rsid w:val="00A545DC"/>
    <w:rsid w:val="00A55FD4"/>
    <w:rsid w:val="00A56EAB"/>
    <w:rsid w:val="00A573A8"/>
    <w:rsid w:val="00A60F0A"/>
    <w:rsid w:val="00A62037"/>
    <w:rsid w:val="00A6432E"/>
    <w:rsid w:val="00A65313"/>
    <w:rsid w:val="00A70513"/>
    <w:rsid w:val="00A733C7"/>
    <w:rsid w:val="00A7658A"/>
    <w:rsid w:val="00A8092F"/>
    <w:rsid w:val="00A80BBC"/>
    <w:rsid w:val="00A82370"/>
    <w:rsid w:val="00A92BF1"/>
    <w:rsid w:val="00A93076"/>
    <w:rsid w:val="00AA219E"/>
    <w:rsid w:val="00AA5B25"/>
    <w:rsid w:val="00AA6A40"/>
    <w:rsid w:val="00AB1114"/>
    <w:rsid w:val="00AB2A5E"/>
    <w:rsid w:val="00AB595E"/>
    <w:rsid w:val="00AB7A4A"/>
    <w:rsid w:val="00AC44B7"/>
    <w:rsid w:val="00AC4FF3"/>
    <w:rsid w:val="00AC5FB1"/>
    <w:rsid w:val="00AD20DB"/>
    <w:rsid w:val="00AD2743"/>
    <w:rsid w:val="00AD2C19"/>
    <w:rsid w:val="00AD570A"/>
    <w:rsid w:val="00AE15B9"/>
    <w:rsid w:val="00AE4252"/>
    <w:rsid w:val="00AE43CA"/>
    <w:rsid w:val="00AE5E66"/>
    <w:rsid w:val="00AF067E"/>
    <w:rsid w:val="00AF1EB4"/>
    <w:rsid w:val="00AF7620"/>
    <w:rsid w:val="00B0236A"/>
    <w:rsid w:val="00B04EAC"/>
    <w:rsid w:val="00B0521C"/>
    <w:rsid w:val="00B1229B"/>
    <w:rsid w:val="00B134BF"/>
    <w:rsid w:val="00B20450"/>
    <w:rsid w:val="00B2105E"/>
    <w:rsid w:val="00B24B39"/>
    <w:rsid w:val="00B26F49"/>
    <w:rsid w:val="00B27256"/>
    <w:rsid w:val="00B27CC8"/>
    <w:rsid w:val="00B31347"/>
    <w:rsid w:val="00B336F3"/>
    <w:rsid w:val="00B35863"/>
    <w:rsid w:val="00B37175"/>
    <w:rsid w:val="00B37CB2"/>
    <w:rsid w:val="00B43925"/>
    <w:rsid w:val="00B52799"/>
    <w:rsid w:val="00B53DB8"/>
    <w:rsid w:val="00B544AC"/>
    <w:rsid w:val="00B55AB6"/>
    <w:rsid w:val="00B609D1"/>
    <w:rsid w:val="00B60B79"/>
    <w:rsid w:val="00B610FD"/>
    <w:rsid w:val="00B6675D"/>
    <w:rsid w:val="00B7000E"/>
    <w:rsid w:val="00B71CFE"/>
    <w:rsid w:val="00B75B3C"/>
    <w:rsid w:val="00B77B0F"/>
    <w:rsid w:val="00B81B79"/>
    <w:rsid w:val="00B823C5"/>
    <w:rsid w:val="00B948A9"/>
    <w:rsid w:val="00B95F63"/>
    <w:rsid w:val="00BA0E99"/>
    <w:rsid w:val="00BA1615"/>
    <w:rsid w:val="00BA1EEC"/>
    <w:rsid w:val="00BA786A"/>
    <w:rsid w:val="00BB174E"/>
    <w:rsid w:val="00BB1B04"/>
    <w:rsid w:val="00BC152F"/>
    <w:rsid w:val="00BC788F"/>
    <w:rsid w:val="00BD131C"/>
    <w:rsid w:val="00BD278C"/>
    <w:rsid w:val="00BD390C"/>
    <w:rsid w:val="00BD43D5"/>
    <w:rsid w:val="00BD6D74"/>
    <w:rsid w:val="00BE1909"/>
    <w:rsid w:val="00BE329C"/>
    <w:rsid w:val="00BE56B6"/>
    <w:rsid w:val="00BE7A5B"/>
    <w:rsid w:val="00C01DEA"/>
    <w:rsid w:val="00C0322A"/>
    <w:rsid w:val="00C0604D"/>
    <w:rsid w:val="00C21550"/>
    <w:rsid w:val="00C2223D"/>
    <w:rsid w:val="00C22EA0"/>
    <w:rsid w:val="00C24837"/>
    <w:rsid w:val="00C25E57"/>
    <w:rsid w:val="00C2760D"/>
    <w:rsid w:val="00C37A8D"/>
    <w:rsid w:val="00C41FEE"/>
    <w:rsid w:val="00C4409C"/>
    <w:rsid w:val="00C45F3B"/>
    <w:rsid w:val="00C477D1"/>
    <w:rsid w:val="00C50497"/>
    <w:rsid w:val="00C50A1C"/>
    <w:rsid w:val="00C50E40"/>
    <w:rsid w:val="00C56C1C"/>
    <w:rsid w:val="00C64229"/>
    <w:rsid w:val="00C66A0C"/>
    <w:rsid w:val="00C746FF"/>
    <w:rsid w:val="00C75C34"/>
    <w:rsid w:val="00C76379"/>
    <w:rsid w:val="00C80C76"/>
    <w:rsid w:val="00C82004"/>
    <w:rsid w:val="00C82059"/>
    <w:rsid w:val="00C85CA6"/>
    <w:rsid w:val="00C9602A"/>
    <w:rsid w:val="00CA10D3"/>
    <w:rsid w:val="00CA1293"/>
    <w:rsid w:val="00CA17DC"/>
    <w:rsid w:val="00CA2296"/>
    <w:rsid w:val="00CA4967"/>
    <w:rsid w:val="00CA530C"/>
    <w:rsid w:val="00CA5EA1"/>
    <w:rsid w:val="00CA75B3"/>
    <w:rsid w:val="00CC2BBE"/>
    <w:rsid w:val="00CC42B2"/>
    <w:rsid w:val="00CC6313"/>
    <w:rsid w:val="00CC746C"/>
    <w:rsid w:val="00CD0647"/>
    <w:rsid w:val="00CD1357"/>
    <w:rsid w:val="00CD2B95"/>
    <w:rsid w:val="00CD3425"/>
    <w:rsid w:val="00CD3C2F"/>
    <w:rsid w:val="00CD5012"/>
    <w:rsid w:val="00CD6928"/>
    <w:rsid w:val="00CD7750"/>
    <w:rsid w:val="00CE0D65"/>
    <w:rsid w:val="00CE7881"/>
    <w:rsid w:val="00CF0498"/>
    <w:rsid w:val="00D0337F"/>
    <w:rsid w:val="00D03B79"/>
    <w:rsid w:val="00D050CE"/>
    <w:rsid w:val="00D05C22"/>
    <w:rsid w:val="00D0636B"/>
    <w:rsid w:val="00D101AA"/>
    <w:rsid w:val="00D12B7E"/>
    <w:rsid w:val="00D13ADB"/>
    <w:rsid w:val="00D14CF4"/>
    <w:rsid w:val="00D17D8A"/>
    <w:rsid w:val="00D21EEB"/>
    <w:rsid w:val="00D22748"/>
    <w:rsid w:val="00D3147C"/>
    <w:rsid w:val="00D366E0"/>
    <w:rsid w:val="00D41CAF"/>
    <w:rsid w:val="00D5146C"/>
    <w:rsid w:val="00D5391E"/>
    <w:rsid w:val="00D54D44"/>
    <w:rsid w:val="00D62FE3"/>
    <w:rsid w:val="00D654AA"/>
    <w:rsid w:val="00D67DA7"/>
    <w:rsid w:val="00D728B3"/>
    <w:rsid w:val="00D735CD"/>
    <w:rsid w:val="00D7466F"/>
    <w:rsid w:val="00D749E6"/>
    <w:rsid w:val="00D75C92"/>
    <w:rsid w:val="00D817EE"/>
    <w:rsid w:val="00D82A54"/>
    <w:rsid w:val="00D84C47"/>
    <w:rsid w:val="00D84F72"/>
    <w:rsid w:val="00D855F9"/>
    <w:rsid w:val="00D87E66"/>
    <w:rsid w:val="00D91410"/>
    <w:rsid w:val="00D9427A"/>
    <w:rsid w:val="00D9558F"/>
    <w:rsid w:val="00D96E74"/>
    <w:rsid w:val="00D96EA7"/>
    <w:rsid w:val="00D97E13"/>
    <w:rsid w:val="00DA140F"/>
    <w:rsid w:val="00DA1978"/>
    <w:rsid w:val="00DA5B5D"/>
    <w:rsid w:val="00DA74DD"/>
    <w:rsid w:val="00DB239A"/>
    <w:rsid w:val="00DB462C"/>
    <w:rsid w:val="00DC4201"/>
    <w:rsid w:val="00DC4CB3"/>
    <w:rsid w:val="00DD00C6"/>
    <w:rsid w:val="00DD1086"/>
    <w:rsid w:val="00DE2712"/>
    <w:rsid w:val="00DE2729"/>
    <w:rsid w:val="00DE2A05"/>
    <w:rsid w:val="00DE5CAE"/>
    <w:rsid w:val="00DE7813"/>
    <w:rsid w:val="00DF1568"/>
    <w:rsid w:val="00DF2E7B"/>
    <w:rsid w:val="00DF4DB6"/>
    <w:rsid w:val="00DF5983"/>
    <w:rsid w:val="00E00C58"/>
    <w:rsid w:val="00E01BDE"/>
    <w:rsid w:val="00E01F11"/>
    <w:rsid w:val="00E069A9"/>
    <w:rsid w:val="00E12344"/>
    <w:rsid w:val="00E14192"/>
    <w:rsid w:val="00E223B3"/>
    <w:rsid w:val="00E25BFB"/>
    <w:rsid w:val="00E325DF"/>
    <w:rsid w:val="00E335CC"/>
    <w:rsid w:val="00E36A2A"/>
    <w:rsid w:val="00E402D4"/>
    <w:rsid w:val="00E43D40"/>
    <w:rsid w:val="00E518CB"/>
    <w:rsid w:val="00E51B82"/>
    <w:rsid w:val="00E54440"/>
    <w:rsid w:val="00E5617B"/>
    <w:rsid w:val="00E6658F"/>
    <w:rsid w:val="00E67B2A"/>
    <w:rsid w:val="00E712A2"/>
    <w:rsid w:val="00E73545"/>
    <w:rsid w:val="00E736CD"/>
    <w:rsid w:val="00E73EE8"/>
    <w:rsid w:val="00E75569"/>
    <w:rsid w:val="00E843DC"/>
    <w:rsid w:val="00E85255"/>
    <w:rsid w:val="00E86700"/>
    <w:rsid w:val="00E94240"/>
    <w:rsid w:val="00EA0517"/>
    <w:rsid w:val="00EA27CC"/>
    <w:rsid w:val="00EA476B"/>
    <w:rsid w:val="00EB409C"/>
    <w:rsid w:val="00EB5D4D"/>
    <w:rsid w:val="00EC0EA0"/>
    <w:rsid w:val="00EC126B"/>
    <w:rsid w:val="00EC2897"/>
    <w:rsid w:val="00EC4388"/>
    <w:rsid w:val="00ED06D3"/>
    <w:rsid w:val="00ED41C9"/>
    <w:rsid w:val="00EE20BD"/>
    <w:rsid w:val="00EE3580"/>
    <w:rsid w:val="00EE5D1F"/>
    <w:rsid w:val="00EE7B88"/>
    <w:rsid w:val="00EF305C"/>
    <w:rsid w:val="00EF538D"/>
    <w:rsid w:val="00EF58E0"/>
    <w:rsid w:val="00EF6E6F"/>
    <w:rsid w:val="00EF7A3C"/>
    <w:rsid w:val="00F02BA8"/>
    <w:rsid w:val="00F03B08"/>
    <w:rsid w:val="00F0632E"/>
    <w:rsid w:val="00F06EED"/>
    <w:rsid w:val="00F129C8"/>
    <w:rsid w:val="00F15625"/>
    <w:rsid w:val="00F15DB2"/>
    <w:rsid w:val="00F16C31"/>
    <w:rsid w:val="00F2623F"/>
    <w:rsid w:val="00F268B6"/>
    <w:rsid w:val="00F26A99"/>
    <w:rsid w:val="00F3386E"/>
    <w:rsid w:val="00F3498D"/>
    <w:rsid w:val="00F41CDF"/>
    <w:rsid w:val="00F429C8"/>
    <w:rsid w:val="00F452DE"/>
    <w:rsid w:val="00F504BB"/>
    <w:rsid w:val="00F513FD"/>
    <w:rsid w:val="00F51AE1"/>
    <w:rsid w:val="00F523DA"/>
    <w:rsid w:val="00F52BFD"/>
    <w:rsid w:val="00F53B1B"/>
    <w:rsid w:val="00F56625"/>
    <w:rsid w:val="00F5784F"/>
    <w:rsid w:val="00F613DF"/>
    <w:rsid w:val="00F64C96"/>
    <w:rsid w:val="00F66847"/>
    <w:rsid w:val="00F67259"/>
    <w:rsid w:val="00F713CB"/>
    <w:rsid w:val="00F75278"/>
    <w:rsid w:val="00F77CB9"/>
    <w:rsid w:val="00F85197"/>
    <w:rsid w:val="00F87278"/>
    <w:rsid w:val="00F91592"/>
    <w:rsid w:val="00F92019"/>
    <w:rsid w:val="00F97D68"/>
    <w:rsid w:val="00FA1D18"/>
    <w:rsid w:val="00FA3424"/>
    <w:rsid w:val="00FA79A5"/>
    <w:rsid w:val="00FB0A31"/>
    <w:rsid w:val="00FB1297"/>
    <w:rsid w:val="00FB416E"/>
    <w:rsid w:val="00FB42EC"/>
    <w:rsid w:val="00FB44E3"/>
    <w:rsid w:val="00FB5FB5"/>
    <w:rsid w:val="00FC0557"/>
    <w:rsid w:val="00FC166A"/>
    <w:rsid w:val="00FC1BA4"/>
    <w:rsid w:val="00FC786A"/>
    <w:rsid w:val="00FD1904"/>
    <w:rsid w:val="00FD3FAC"/>
    <w:rsid w:val="00FD5A05"/>
    <w:rsid w:val="00FE184A"/>
    <w:rsid w:val="00FE4D95"/>
    <w:rsid w:val="00FF0E37"/>
    <w:rsid w:val="00FF4342"/>
    <w:rsid w:val="00FF5DFB"/>
    <w:rsid w:val="00FF5F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08D61F1-9EC7-4929-B6D6-FF54BB7D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192"/>
    <w:pPr>
      <w:spacing w:after="0"/>
    </w:pPr>
  </w:style>
  <w:style w:type="paragraph" w:styleId="Heading1">
    <w:name w:val="heading 1"/>
    <w:basedOn w:val="Normal"/>
    <w:next w:val="Normal"/>
    <w:link w:val="Heading1Char"/>
    <w:uiPriority w:val="9"/>
    <w:qFormat/>
    <w:rsid w:val="0072365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2365E"/>
    <w:pPr>
      <w:keepNext/>
      <w:keepLines/>
      <w:spacing w:before="40"/>
      <w:outlineLvl w:val="1"/>
    </w:pPr>
    <w:rPr>
      <w:rFonts w:asciiTheme="majorHAnsi" w:eastAsiaTheme="majorEastAsia" w:hAnsiTheme="majorHAnsi" w:cstheme="majorBidi"/>
      <w:color w:val="2E74B5" w:themeColor="accent1" w:themeShade="BF"/>
      <w:sz w:val="28"/>
      <w:szCs w:val="26"/>
    </w:rPr>
  </w:style>
  <w:style w:type="paragraph" w:styleId="Heading3">
    <w:name w:val="heading 3"/>
    <w:basedOn w:val="Normal"/>
    <w:next w:val="Normal"/>
    <w:link w:val="Heading3Char"/>
    <w:autoRedefine/>
    <w:uiPriority w:val="9"/>
    <w:unhideWhenUsed/>
    <w:qFormat/>
    <w:rsid w:val="007227BF"/>
    <w:pPr>
      <w:keepNext/>
      <w:keepLines/>
      <w:spacing w:after="20"/>
      <w:jc w:val="both"/>
      <w:outlineLvl w:val="2"/>
    </w:pPr>
    <w:rPr>
      <w:rFonts w:asciiTheme="majorHAnsi" w:eastAsiaTheme="majorEastAsia" w:hAnsiTheme="majorHAnsi" w:cstheme="majorBidi"/>
      <w:b/>
      <w:i/>
      <w:color w:val="2F5496" w:themeColor="accent5" w:themeShade="BF"/>
      <w:sz w:val="26"/>
      <w:lang w:eastAsia="en-GB"/>
    </w:rPr>
  </w:style>
  <w:style w:type="paragraph" w:styleId="Heading4">
    <w:name w:val="heading 4"/>
    <w:basedOn w:val="Normal"/>
    <w:next w:val="Normal"/>
    <w:link w:val="Heading4Char"/>
    <w:uiPriority w:val="9"/>
    <w:unhideWhenUsed/>
    <w:qFormat/>
    <w:rsid w:val="0072365E"/>
    <w:pPr>
      <w:keepNext/>
      <w:keepLines/>
      <w:spacing w:before="40"/>
      <w:outlineLvl w:val="3"/>
    </w:pPr>
    <w:rPr>
      <w:rFonts w:asciiTheme="majorHAnsi" w:eastAsiaTheme="majorEastAsia" w:hAnsiTheme="majorHAnsi" w:cstheme="majorBidi"/>
      <w:b/>
      <w:i/>
      <w:iCs/>
      <w:color w:val="2E74B5" w:themeColor="accent1" w:themeShade="BF"/>
    </w:rPr>
  </w:style>
  <w:style w:type="paragraph" w:styleId="Heading5">
    <w:name w:val="heading 5"/>
    <w:basedOn w:val="Normal"/>
    <w:next w:val="Normal"/>
    <w:link w:val="Heading5Char"/>
    <w:uiPriority w:val="9"/>
    <w:unhideWhenUsed/>
    <w:qFormat/>
    <w:rsid w:val="00630933"/>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1E26C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next w:val="Normal"/>
    <w:link w:val="Heading7Char"/>
    <w:uiPriority w:val="9"/>
    <w:unhideWhenUsed/>
    <w:qFormat/>
    <w:rsid w:val="003529C4"/>
    <w:pPr>
      <w:keepNext/>
      <w:keepLines/>
      <w:spacing w:before="120" w:after="120" w:line="240" w:lineRule="auto"/>
      <w:outlineLvl w:val="6"/>
    </w:pPr>
    <w:rPr>
      <w:rFonts w:asciiTheme="majorHAnsi" w:eastAsiaTheme="majorEastAsia" w:hAnsiTheme="majorHAnsi" w:cstheme="majorBidi"/>
      <w:i/>
      <w:iCs/>
      <w:color w:val="1F4D78" w:themeColor="accent1" w:themeShade="7F"/>
      <w:sz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6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2365E"/>
    <w:rPr>
      <w:rFonts w:asciiTheme="majorHAnsi" w:eastAsiaTheme="majorEastAsia" w:hAnsiTheme="majorHAnsi" w:cstheme="majorBidi"/>
      <w:color w:val="2E74B5" w:themeColor="accent1" w:themeShade="BF"/>
      <w:sz w:val="28"/>
      <w:szCs w:val="26"/>
    </w:rPr>
  </w:style>
  <w:style w:type="character" w:customStyle="1" w:styleId="Heading3Char">
    <w:name w:val="Heading 3 Char"/>
    <w:basedOn w:val="DefaultParagraphFont"/>
    <w:link w:val="Heading3"/>
    <w:uiPriority w:val="9"/>
    <w:rsid w:val="007227BF"/>
    <w:rPr>
      <w:rFonts w:asciiTheme="majorHAnsi" w:eastAsiaTheme="majorEastAsia" w:hAnsiTheme="majorHAnsi" w:cstheme="majorBidi"/>
      <w:b/>
      <w:i/>
      <w:color w:val="2F5496" w:themeColor="accent5" w:themeShade="BF"/>
      <w:sz w:val="26"/>
      <w:lang w:eastAsia="en-GB"/>
    </w:rPr>
  </w:style>
  <w:style w:type="character" w:customStyle="1" w:styleId="Heading4Char">
    <w:name w:val="Heading 4 Char"/>
    <w:basedOn w:val="DefaultParagraphFont"/>
    <w:link w:val="Heading4"/>
    <w:uiPriority w:val="9"/>
    <w:rsid w:val="0072365E"/>
    <w:rPr>
      <w:rFonts w:asciiTheme="majorHAnsi" w:eastAsiaTheme="majorEastAsia" w:hAnsiTheme="majorHAnsi" w:cstheme="majorBidi"/>
      <w:b/>
      <w:i/>
      <w:iCs/>
      <w:color w:val="2E74B5" w:themeColor="accent1" w:themeShade="BF"/>
    </w:rPr>
  </w:style>
  <w:style w:type="paragraph" w:styleId="ListParagraph">
    <w:name w:val="List Paragraph"/>
    <w:basedOn w:val="Normal"/>
    <w:link w:val="ListParagraphChar"/>
    <w:uiPriority w:val="34"/>
    <w:qFormat/>
    <w:rsid w:val="00E14192"/>
    <w:pPr>
      <w:ind w:left="720"/>
      <w:contextualSpacing/>
    </w:pPr>
  </w:style>
  <w:style w:type="character" w:styleId="Strong">
    <w:name w:val="Strong"/>
    <w:basedOn w:val="DefaultParagraphFont"/>
    <w:uiPriority w:val="22"/>
    <w:qFormat/>
    <w:rsid w:val="00E14192"/>
    <w:rPr>
      <w:b/>
      <w:bCs/>
    </w:rPr>
  </w:style>
  <w:style w:type="paragraph" w:styleId="EndnoteText">
    <w:name w:val="endnote text"/>
    <w:basedOn w:val="Normal"/>
    <w:link w:val="EndnoteTextChar"/>
    <w:uiPriority w:val="99"/>
    <w:unhideWhenUsed/>
    <w:rsid w:val="00E14192"/>
    <w:pPr>
      <w:spacing w:line="240" w:lineRule="auto"/>
    </w:pPr>
    <w:rPr>
      <w:sz w:val="20"/>
      <w:szCs w:val="20"/>
    </w:rPr>
  </w:style>
  <w:style w:type="character" w:customStyle="1" w:styleId="EndnoteTextChar">
    <w:name w:val="Endnote Text Char"/>
    <w:basedOn w:val="DefaultParagraphFont"/>
    <w:link w:val="EndnoteText"/>
    <w:uiPriority w:val="99"/>
    <w:rsid w:val="00E14192"/>
    <w:rPr>
      <w:sz w:val="20"/>
      <w:szCs w:val="20"/>
    </w:rPr>
  </w:style>
  <w:style w:type="character" w:styleId="EndnoteReference">
    <w:name w:val="endnote reference"/>
    <w:basedOn w:val="DefaultParagraphFont"/>
    <w:uiPriority w:val="99"/>
    <w:unhideWhenUsed/>
    <w:rsid w:val="00E14192"/>
    <w:rPr>
      <w:vertAlign w:val="superscript"/>
    </w:rPr>
  </w:style>
  <w:style w:type="paragraph" w:customStyle="1" w:styleId="Default">
    <w:name w:val="Default"/>
    <w:rsid w:val="00E14192"/>
    <w:pPr>
      <w:autoSpaceDE w:val="0"/>
      <w:autoSpaceDN w:val="0"/>
      <w:adjustRightInd w:val="0"/>
      <w:spacing w:after="0" w:line="240" w:lineRule="auto"/>
    </w:pPr>
    <w:rPr>
      <w:rFonts w:ascii="Verdana" w:hAnsi="Verdana" w:cs="Verdana"/>
      <w:color w:val="000000"/>
      <w:sz w:val="24"/>
      <w:szCs w:val="24"/>
    </w:rPr>
  </w:style>
  <w:style w:type="paragraph" w:styleId="CommentText">
    <w:name w:val="annotation text"/>
    <w:basedOn w:val="Normal"/>
    <w:link w:val="CommentTextChar"/>
    <w:uiPriority w:val="99"/>
    <w:semiHidden/>
    <w:unhideWhenUsed/>
    <w:rsid w:val="00E14192"/>
    <w:pPr>
      <w:spacing w:line="240" w:lineRule="auto"/>
    </w:pPr>
    <w:rPr>
      <w:sz w:val="20"/>
      <w:szCs w:val="20"/>
    </w:rPr>
  </w:style>
  <w:style w:type="character" w:customStyle="1" w:styleId="CommentTextChar">
    <w:name w:val="Comment Text Char"/>
    <w:basedOn w:val="DefaultParagraphFont"/>
    <w:link w:val="CommentText"/>
    <w:uiPriority w:val="99"/>
    <w:semiHidden/>
    <w:rsid w:val="00E14192"/>
    <w:rPr>
      <w:sz w:val="20"/>
      <w:szCs w:val="20"/>
    </w:rPr>
  </w:style>
  <w:style w:type="character" w:customStyle="1" w:styleId="ListParagraphChar">
    <w:name w:val="List Paragraph Char"/>
    <w:link w:val="ListParagraph"/>
    <w:uiPriority w:val="34"/>
    <w:qFormat/>
    <w:locked/>
    <w:rsid w:val="00E14192"/>
  </w:style>
  <w:style w:type="character" w:styleId="Hyperlink">
    <w:name w:val="Hyperlink"/>
    <w:basedOn w:val="DefaultParagraphFont"/>
    <w:uiPriority w:val="99"/>
    <w:unhideWhenUsed/>
    <w:rsid w:val="00E14192"/>
    <w:rPr>
      <w:color w:val="0000FF"/>
      <w:u w:val="single"/>
    </w:rPr>
  </w:style>
  <w:style w:type="character" w:customStyle="1" w:styleId="verdana">
    <w:name w:val="verdana"/>
    <w:basedOn w:val="DefaultParagraphFont"/>
    <w:rsid w:val="00E14192"/>
  </w:style>
  <w:style w:type="paragraph" w:styleId="NoSpacing">
    <w:name w:val="No Spacing"/>
    <w:link w:val="NoSpacingChar"/>
    <w:uiPriority w:val="1"/>
    <w:qFormat/>
    <w:rsid w:val="00E14192"/>
    <w:pPr>
      <w:spacing w:after="0" w:line="240" w:lineRule="auto"/>
      <w:jc w:val="both"/>
    </w:pPr>
    <w:rPr>
      <w:rFonts w:ascii="Times New Roman" w:eastAsiaTheme="minorEastAsia" w:hAnsi="Times New Roman"/>
      <w:sz w:val="24"/>
      <w:szCs w:val="21"/>
    </w:rPr>
  </w:style>
  <w:style w:type="character" w:customStyle="1" w:styleId="NormalWebChar">
    <w:name w:val="Normal (Web) Char"/>
    <w:basedOn w:val="DefaultParagraphFont"/>
    <w:link w:val="NormalWeb"/>
    <w:uiPriority w:val="99"/>
    <w:locked/>
    <w:rsid w:val="00E14192"/>
    <w:rPr>
      <w:rFonts w:ascii="Times New Roman" w:eastAsia="Times New Roman" w:hAnsi="Times New Roman" w:cs="Times New Roman"/>
      <w:sz w:val="24"/>
      <w:szCs w:val="24"/>
      <w:lang w:eastAsia="fr-FR"/>
    </w:rPr>
  </w:style>
  <w:style w:type="paragraph" w:styleId="NormalWeb">
    <w:name w:val="Normal (Web)"/>
    <w:basedOn w:val="Normal"/>
    <w:link w:val="NormalWebChar"/>
    <w:uiPriority w:val="99"/>
    <w:unhideWhenUsed/>
    <w:rsid w:val="00E1419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FootnoteText">
    <w:name w:val="footnote text"/>
    <w:basedOn w:val="Normal"/>
    <w:link w:val="FootnoteTextChar"/>
    <w:uiPriority w:val="99"/>
    <w:semiHidden/>
    <w:unhideWhenUsed/>
    <w:rsid w:val="00E14192"/>
    <w:pPr>
      <w:spacing w:line="240" w:lineRule="auto"/>
    </w:pPr>
    <w:rPr>
      <w:sz w:val="20"/>
      <w:szCs w:val="20"/>
    </w:rPr>
  </w:style>
  <w:style w:type="character" w:customStyle="1" w:styleId="FootnoteTextChar">
    <w:name w:val="Footnote Text Char"/>
    <w:basedOn w:val="DefaultParagraphFont"/>
    <w:link w:val="FootnoteText"/>
    <w:uiPriority w:val="99"/>
    <w:semiHidden/>
    <w:rsid w:val="00E14192"/>
    <w:rPr>
      <w:sz w:val="20"/>
      <w:szCs w:val="20"/>
    </w:rPr>
  </w:style>
  <w:style w:type="character" w:styleId="FootnoteReference">
    <w:name w:val="footnote reference"/>
    <w:basedOn w:val="DefaultParagraphFont"/>
    <w:uiPriority w:val="99"/>
    <w:semiHidden/>
    <w:unhideWhenUsed/>
    <w:rsid w:val="00E14192"/>
    <w:rPr>
      <w:vertAlign w:val="superscript"/>
    </w:rPr>
  </w:style>
  <w:style w:type="paragraph" w:styleId="TOCHeading">
    <w:name w:val="TOC Heading"/>
    <w:basedOn w:val="Heading1"/>
    <w:next w:val="Normal"/>
    <w:uiPriority w:val="39"/>
    <w:unhideWhenUsed/>
    <w:qFormat/>
    <w:rsid w:val="00E14192"/>
    <w:pPr>
      <w:outlineLvl w:val="9"/>
    </w:pPr>
    <w:rPr>
      <w:lang w:eastAsia="fr-FR"/>
    </w:rPr>
  </w:style>
  <w:style w:type="paragraph" w:styleId="TOC1">
    <w:name w:val="toc 1"/>
    <w:basedOn w:val="Normal"/>
    <w:next w:val="Normal"/>
    <w:autoRedefine/>
    <w:uiPriority w:val="39"/>
    <w:unhideWhenUsed/>
    <w:rsid w:val="00E14192"/>
    <w:pPr>
      <w:spacing w:after="100"/>
    </w:pPr>
  </w:style>
  <w:style w:type="paragraph" w:styleId="TOC2">
    <w:name w:val="toc 2"/>
    <w:basedOn w:val="Normal"/>
    <w:next w:val="Normal"/>
    <w:autoRedefine/>
    <w:uiPriority w:val="39"/>
    <w:unhideWhenUsed/>
    <w:rsid w:val="00E14192"/>
    <w:pPr>
      <w:spacing w:after="100"/>
      <w:ind w:left="220"/>
    </w:pPr>
  </w:style>
  <w:style w:type="paragraph" w:styleId="TOC3">
    <w:name w:val="toc 3"/>
    <w:basedOn w:val="Normal"/>
    <w:next w:val="Normal"/>
    <w:autoRedefine/>
    <w:uiPriority w:val="39"/>
    <w:unhideWhenUsed/>
    <w:rsid w:val="00586B7E"/>
    <w:pPr>
      <w:tabs>
        <w:tab w:val="right" w:leader="dot" w:pos="9062"/>
      </w:tabs>
      <w:spacing w:after="100"/>
      <w:ind w:left="440"/>
      <w:jc w:val="both"/>
    </w:pPr>
  </w:style>
  <w:style w:type="paragraph" w:styleId="Header">
    <w:name w:val="header"/>
    <w:basedOn w:val="Normal"/>
    <w:link w:val="HeaderChar"/>
    <w:uiPriority w:val="99"/>
    <w:unhideWhenUsed/>
    <w:rsid w:val="00E14192"/>
    <w:pPr>
      <w:tabs>
        <w:tab w:val="center" w:pos="4536"/>
        <w:tab w:val="right" w:pos="9072"/>
      </w:tabs>
      <w:spacing w:line="240" w:lineRule="auto"/>
    </w:pPr>
  </w:style>
  <w:style w:type="character" w:customStyle="1" w:styleId="HeaderChar">
    <w:name w:val="Header Char"/>
    <w:basedOn w:val="DefaultParagraphFont"/>
    <w:link w:val="Header"/>
    <w:uiPriority w:val="99"/>
    <w:rsid w:val="00E14192"/>
  </w:style>
  <w:style w:type="paragraph" w:styleId="Footer">
    <w:name w:val="footer"/>
    <w:basedOn w:val="Normal"/>
    <w:link w:val="FooterChar"/>
    <w:uiPriority w:val="99"/>
    <w:unhideWhenUsed/>
    <w:rsid w:val="00E14192"/>
    <w:pPr>
      <w:tabs>
        <w:tab w:val="center" w:pos="4536"/>
        <w:tab w:val="right" w:pos="9072"/>
      </w:tabs>
      <w:spacing w:line="240" w:lineRule="auto"/>
    </w:pPr>
  </w:style>
  <w:style w:type="character" w:customStyle="1" w:styleId="FooterChar">
    <w:name w:val="Footer Char"/>
    <w:basedOn w:val="DefaultParagraphFont"/>
    <w:link w:val="Footer"/>
    <w:uiPriority w:val="99"/>
    <w:rsid w:val="00E14192"/>
  </w:style>
  <w:style w:type="paragraph" w:styleId="BalloonText">
    <w:name w:val="Balloon Text"/>
    <w:basedOn w:val="Normal"/>
    <w:link w:val="BalloonTextChar"/>
    <w:uiPriority w:val="99"/>
    <w:semiHidden/>
    <w:unhideWhenUsed/>
    <w:rsid w:val="00E1419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92"/>
    <w:rPr>
      <w:rFonts w:ascii="Segoe UI" w:hAnsi="Segoe UI" w:cs="Segoe UI"/>
      <w:sz w:val="18"/>
      <w:szCs w:val="18"/>
    </w:rPr>
  </w:style>
  <w:style w:type="character" w:customStyle="1" w:styleId="Heading5Char">
    <w:name w:val="Heading 5 Char"/>
    <w:basedOn w:val="DefaultParagraphFont"/>
    <w:link w:val="Heading5"/>
    <w:uiPriority w:val="9"/>
    <w:rsid w:val="00630933"/>
    <w:rPr>
      <w:rFonts w:asciiTheme="majorHAnsi" w:eastAsiaTheme="majorEastAsia" w:hAnsiTheme="majorHAnsi" w:cstheme="majorBidi"/>
      <w:color w:val="2E74B5" w:themeColor="accent1" w:themeShade="BF"/>
    </w:rPr>
  </w:style>
  <w:style w:type="character" w:customStyle="1" w:styleId="NoSpacingChar">
    <w:name w:val="No Spacing Char"/>
    <w:basedOn w:val="DefaultParagraphFont"/>
    <w:link w:val="NoSpacing"/>
    <w:uiPriority w:val="1"/>
    <w:rsid w:val="00051C36"/>
    <w:rPr>
      <w:rFonts w:ascii="Times New Roman" w:eastAsiaTheme="minorEastAsia" w:hAnsi="Times New Roman"/>
      <w:sz w:val="24"/>
      <w:szCs w:val="21"/>
    </w:rPr>
  </w:style>
  <w:style w:type="table" w:styleId="TableGrid">
    <w:name w:val="Table Grid"/>
    <w:basedOn w:val="TableNormal"/>
    <w:uiPriority w:val="39"/>
    <w:rsid w:val="001E2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E26C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1E26C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6Char">
    <w:name w:val="Heading 6 Char"/>
    <w:basedOn w:val="DefaultParagraphFont"/>
    <w:link w:val="Heading6"/>
    <w:uiPriority w:val="9"/>
    <w:rsid w:val="001E26C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3529C4"/>
    <w:rPr>
      <w:rFonts w:asciiTheme="majorHAnsi" w:eastAsiaTheme="majorEastAsia" w:hAnsiTheme="majorHAnsi" w:cstheme="majorBidi"/>
      <w:i/>
      <w:iCs/>
      <w:color w:val="1F4D78" w:themeColor="accent1" w:themeShade="7F"/>
      <w:sz w:val="26"/>
      <w:lang w:eastAsia="en-GB"/>
    </w:rPr>
  </w:style>
  <w:style w:type="character" w:styleId="Emphasis">
    <w:name w:val="Emphasis"/>
    <w:basedOn w:val="DefaultParagraphFont"/>
    <w:uiPriority w:val="20"/>
    <w:qFormat/>
    <w:rsid w:val="00723BD1"/>
    <w:rPr>
      <w:i/>
      <w:iCs/>
    </w:rPr>
  </w:style>
  <w:style w:type="paragraph" w:styleId="Title">
    <w:name w:val="Title"/>
    <w:basedOn w:val="Normal"/>
    <w:next w:val="Normal"/>
    <w:link w:val="TitleChar"/>
    <w:uiPriority w:val="10"/>
    <w:qFormat/>
    <w:rsid w:val="003529C4"/>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9C4"/>
    <w:rPr>
      <w:rFonts w:asciiTheme="majorHAnsi" w:eastAsiaTheme="majorEastAsia" w:hAnsiTheme="majorHAnsi" w:cstheme="majorBidi"/>
      <w:spacing w:val="-10"/>
      <w:kern w:val="28"/>
      <w:sz w:val="56"/>
      <w:szCs w:val="56"/>
    </w:rPr>
  </w:style>
  <w:style w:type="paragraph" w:customStyle="1" w:styleId="Corpsdutexte">
    <w:name w:val="Corps du texte"/>
    <w:basedOn w:val="Normal"/>
    <w:link w:val="CorpsdutexteCar"/>
    <w:qFormat/>
    <w:rsid w:val="00C24837"/>
    <w:pPr>
      <w:spacing w:before="100" w:after="200" w:line="276" w:lineRule="auto"/>
      <w:jc w:val="both"/>
    </w:pPr>
    <w:rPr>
      <w:rFonts w:ascii="Book Antiqua" w:eastAsia="Calibri" w:hAnsi="Book Antiqua" w:cs="Times New Roman"/>
    </w:rPr>
  </w:style>
  <w:style w:type="character" w:customStyle="1" w:styleId="CorpsdutexteCar">
    <w:name w:val="Corps du texte Car"/>
    <w:link w:val="Corpsdutexte"/>
    <w:rsid w:val="00C24837"/>
    <w:rPr>
      <w:rFonts w:ascii="Book Antiqua" w:eastAsia="Calibri" w:hAnsi="Book Antiqua" w:cs="Times New Roman"/>
    </w:rPr>
  </w:style>
  <w:style w:type="table" w:customStyle="1" w:styleId="TableauGrille1Clair-Accentuation11">
    <w:name w:val="Tableau Grille 1 Clair - Accentuation 11"/>
    <w:basedOn w:val="TableNormal"/>
    <w:uiPriority w:val="46"/>
    <w:rsid w:val="00F8727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e24kjd">
    <w:name w:val="e24kjd"/>
    <w:basedOn w:val="DefaultParagraphFont"/>
    <w:rsid w:val="00874454"/>
  </w:style>
  <w:style w:type="character" w:customStyle="1" w:styleId="st">
    <w:name w:val="st"/>
    <w:basedOn w:val="DefaultParagraphFont"/>
    <w:rsid w:val="00874454"/>
  </w:style>
  <w:style w:type="paragraph" w:customStyle="1" w:styleId="Normal1">
    <w:name w:val="Normal1"/>
    <w:rsid w:val="003A373D"/>
    <w:pPr>
      <w:spacing w:after="0"/>
    </w:pPr>
    <w:rPr>
      <w:rFonts w:ascii="Calibri" w:eastAsia="Calibri" w:hAnsi="Calibri" w:cs="Calibri"/>
      <w:lang w:eastAsia="fr-FR"/>
    </w:rPr>
  </w:style>
  <w:style w:type="character" w:customStyle="1" w:styleId="field">
    <w:name w:val="field"/>
    <w:basedOn w:val="DefaultParagraphFont"/>
    <w:rsid w:val="007F778F"/>
  </w:style>
  <w:style w:type="character" w:customStyle="1" w:styleId="desc">
    <w:name w:val="desc"/>
    <w:basedOn w:val="DefaultParagraphFont"/>
    <w:rsid w:val="007F778F"/>
  </w:style>
  <w:style w:type="character" w:customStyle="1" w:styleId="item">
    <w:name w:val="item"/>
    <w:basedOn w:val="DefaultParagraphFont"/>
    <w:rsid w:val="007F778F"/>
  </w:style>
  <w:style w:type="character" w:customStyle="1" w:styleId="separator">
    <w:name w:val="separator"/>
    <w:basedOn w:val="DefaultParagraphFont"/>
    <w:rsid w:val="007F778F"/>
  </w:style>
  <w:style w:type="paragraph" w:customStyle="1" w:styleId="book--author-moral">
    <w:name w:val="book--author-moral"/>
    <w:basedOn w:val="Normal"/>
    <w:rsid w:val="007F778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ielditem">
    <w:name w:val="field__item"/>
    <w:basedOn w:val="DefaultParagraphFont"/>
    <w:rsid w:val="007F778F"/>
  </w:style>
  <w:style w:type="character" w:styleId="FollowedHyperlink">
    <w:name w:val="FollowedHyperlink"/>
    <w:basedOn w:val="DefaultParagraphFont"/>
    <w:uiPriority w:val="99"/>
    <w:semiHidden/>
    <w:unhideWhenUsed/>
    <w:rsid w:val="00AC44B7"/>
    <w:rPr>
      <w:color w:val="954F72" w:themeColor="followedHyperlink"/>
      <w:u w:val="single"/>
    </w:rPr>
  </w:style>
  <w:style w:type="character" w:customStyle="1" w:styleId="s3uucc">
    <w:name w:val="s3uucc"/>
    <w:basedOn w:val="DefaultParagraphFont"/>
    <w:rsid w:val="00654B03"/>
  </w:style>
  <w:style w:type="character" w:styleId="HTMLCite">
    <w:name w:val="HTML Cite"/>
    <w:basedOn w:val="DefaultParagraphFont"/>
    <w:uiPriority w:val="99"/>
    <w:semiHidden/>
    <w:unhideWhenUsed/>
    <w:rsid w:val="004A2813"/>
    <w:rPr>
      <w:i/>
      <w:iCs/>
    </w:rPr>
  </w:style>
  <w:style w:type="character" w:customStyle="1" w:styleId="apple-converted-space">
    <w:name w:val="apple-converted-space"/>
    <w:basedOn w:val="DefaultParagraphFont"/>
    <w:rsid w:val="00010D6F"/>
  </w:style>
  <w:style w:type="character" w:customStyle="1" w:styleId="Mentionnonrsolue1">
    <w:name w:val="Mention non résolue1"/>
    <w:basedOn w:val="DefaultParagraphFont"/>
    <w:uiPriority w:val="99"/>
    <w:semiHidden/>
    <w:unhideWhenUsed/>
    <w:rsid w:val="00010D6F"/>
    <w:rPr>
      <w:color w:val="605E5C"/>
      <w:shd w:val="clear" w:color="auto" w:fill="E1DFDD"/>
    </w:rPr>
  </w:style>
  <w:style w:type="character" w:customStyle="1" w:styleId="Mentionnonrsolue2">
    <w:name w:val="Mention non résolue2"/>
    <w:basedOn w:val="DefaultParagraphFont"/>
    <w:uiPriority w:val="99"/>
    <w:semiHidden/>
    <w:unhideWhenUsed/>
    <w:rsid w:val="002F64CA"/>
    <w:rPr>
      <w:color w:val="605E5C"/>
      <w:shd w:val="clear" w:color="auto" w:fill="E1DFDD"/>
    </w:rPr>
  </w:style>
  <w:style w:type="paragraph" w:customStyle="1" w:styleId="Pa1">
    <w:name w:val="Pa1"/>
    <w:basedOn w:val="Default"/>
    <w:next w:val="Default"/>
    <w:uiPriority w:val="99"/>
    <w:rsid w:val="00145105"/>
    <w:pPr>
      <w:spacing w:line="241" w:lineRule="atLeast"/>
    </w:pPr>
    <w:rPr>
      <w:rFonts w:ascii="Bree Rg" w:hAnsi="Bree Rg" w:cstheme="minorBidi"/>
      <w:color w:val="auto"/>
    </w:rPr>
  </w:style>
  <w:style w:type="character" w:customStyle="1" w:styleId="A2">
    <w:name w:val="A2"/>
    <w:uiPriority w:val="99"/>
    <w:rsid w:val="00145105"/>
    <w:rPr>
      <w:rFonts w:cs="Bree Rg"/>
      <w:color w:val="000000"/>
      <w:sz w:val="72"/>
      <w:szCs w:val="72"/>
    </w:rPr>
  </w:style>
  <w:style w:type="character" w:customStyle="1" w:styleId="A3">
    <w:name w:val="A3"/>
    <w:uiPriority w:val="99"/>
    <w:rsid w:val="00145105"/>
    <w:rPr>
      <w:rFonts w:ascii="Bree Lt" w:hAnsi="Bree Lt" w:cs="Bree Lt"/>
      <w:color w:val="000000"/>
      <w:sz w:val="38"/>
      <w:szCs w:val="38"/>
    </w:rPr>
  </w:style>
  <w:style w:type="table" w:customStyle="1" w:styleId="Grilledutableau1">
    <w:name w:val="Grille du tableau1"/>
    <w:basedOn w:val="TableNormal"/>
    <w:next w:val="TableGrid"/>
    <w:uiPriority w:val="39"/>
    <w:rsid w:val="00A3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1817">
      <w:bodyDiv w:val="1"/>
      <w:marLeft w:val="0"/>
      <w:marRight w:val="0"/>
      <w:marTop w:val="0"/>
      <w:marBottom w:val="0"/>
      <w:divBdr>
        <w:top w:val="none" w:sz="0" w:space="0" w:color="auto"/>
        <w:left w:val="none" w:sz="0" w:space="0" w:color="auto"/>
        <w:bottom w:val="none" w:sz="0" w:space="0" w:color="auto"/>
        <w:right w:val="none" w:sz="0" w:space="0" w:color="auto"/>
      </w:divBdr>
    </w:div>
    <w:div w:id="272714764">
      <w:bodyDiv w:val="1"/>
      <w:marLeft w:val="0"/>
      <w:marRight w:val="0"/>
      <w:marTop w:val="0"/>
      <w:marBottom w:val="0"/>
      <w:divBdr>
        <w:top w:val="none" w:sz="0" w:space="0" w:color="auto"/>
        <w:left w:val="none" w:sz="0" w:space="0" w:color="auto"/>
        <w:bottom w:val="none" w:sz="0" w:space="0" w:color="auto"/>
        <w:right w:val="none" w:sz="0" w:space="0" w:color="auto"/>
      </w:divBdr>
    </w:div>
    <w:div w:id="659966942">
      <w:bodyDiv w:val="1"/>
      <w:marLeft w:val="0"/>
      <w:marRight w:val="0"/>
      <w:marTop w:val="0"/>
      <w:marBottom w:val="0"/>
      <w:divBdr>
        <w:top w:val="none" w:sz="0" w:space="0" w:color="auto"/>
        <w:left w:val="none" w:sz="0" w:space="0" w:color="auto"/>
        <w:bottom w:val="none" w:sz="0" w:space="0" w:color="auto"/>
        <w:right w:val="none" w:sz="0" w:space="0" w:color="auto"/>
      </w:divBdr>
    </w:div>
    <w:div w:id="714961964">
      <w:bodyDiv w:val="1"/>
      <w:marLeft w:val="0"/>
      <w:marRight w:val="0"/>
      <w:marTop w:val="0"/>
      <w:marBottom w:val="0"/>
      <w:divBdr>
        <w:top w:val="none" w:sz="0" w:space="0" w:color="auto"/>
        <w:left w:val="none" w:sz="0" w:space="0" w:color="auto"/>
        <w:bottom w:val="none" w:sz="0" w:space="0" w:color="auto"/>
        <w:right w:val="none" w:sz="0" w:space="0" w:color="auto"/>
      </w:divBdr>
    </w:div>
    <w:div w:id="799961805">
      <w:bodyDiv w:val="1"/>
      <w:marLeft w:val="0"/>
      <w:marRight w:val="0"/>
      <w:marTop w:val="0"/>
      <w:marBottom w:val="0"/>
      <w:divBdr>
        <w:top w:val="none" w:sz="0" w:space="0" w:color="auto"/>
        <w:left w:val="none" w:sz="0" w:space="0" w:color="auto"/>
        <w:bottom w:val="none" w:sz="0" w:space="0" w:color="auto"/>
        <w:right w:val="none" w:sz="0" w:space="0" w:color="auto"/>
      </w:divBdr>
    </w:div>
    <w:div w:id="915285037">
      <w:bodyDiv w:val="1"/>
      <w:marLeft w:val="0"/>
      <w:marRight w:val="0"/>
      <w:marTop w:val="0"/>
      <w:marBottom w:val="0"/>
      <w:divBdr>
        <w:top w:val="none" w:sz="0" w:space="0" w:color="auto"/>
        <w:left w:val="none" w:sz="0" w:space="0" w:color="auto"/>
        <w:bottom w:val="none" w:sz="0" w:space="0" w:color="auto"/>
        <w:right w:val="none" w:sz="0" w:space="0" w:color="auto"/>
      </w:divBdr>
      <w:divsChild>
        <w:div w:id="1154180918">
          <w:marLeft w:val="0"/>
          <w:marRight w:val="0"/>
          <w:marTop w:val="0"/>
          <w:marBottom w:val="0"/>
          <w:divBdr>
            <w:top w:val="none" w:sz="0" w:space="0" w:color="auto"/>
            <w:left w:val="none" w:sz="0" w:space="0" w:color="auto"/>
            <w:bottom w:val="none" w:sz="0" w:space="0" w:color="auto"/>
            <w:right w:val="none" w:sz="0" w:space="0" w:color="auto"/>
          </w:divBdr>
        </w:div>
      </w:divsChild>
    </w:div>
    <w:div w:id="1000305639">
      <w:bodyDiv w:val="1"/>
      <w:marLeft w:val="0"/>
      <w:marRight w:val="0"/>
      <w:marTop w:val="0"/>
      <w:marBottom w:val="0"/>
      <w:divBdr>
        <w:top w:val="none" w:sz="0" w:space="0" w:color="auto"/>
        <w:left w:val="none" w:sz="0" w:space="0" w:color="auto"/>
        <w:bottom w:val="none" w:sz="0" w:space="0" w:color="auto"/>
        <w:right w:val="none" w:sz="0" w:space="0" w:color="auto"/>
      </w:divBdr>
      <w:divsChild>
        <w:div w:id="476847838">
          <w:marLeft w:val="0"/>
          <w:marRight w:val="0"/>
          <w:marTop w:val="0"/>
          <w:marBottom w:val="0"/>
          <w:divBdr>
            <w:top w:val="none" w:sz="0" w:space="0" w:color="auto"/>
            <w:left w:val="none" w:sz="0" w:space="0" w:color="auto"/>
            <w:bottom w:val="none" w:sz="0" w:space="0" w:color="auto"/>
            <w:right w:val="none" w:sz="0" w:space="0" w:color="auto"/>
          </w:divBdr>
          <w:divsChild>
            <w:div w:id="694035863">
              <w:marLeft w:val="0"/>
              <w:marRight w:val="0"/>
              <w:marTop w:val="0"/>
              <w:marBottom w:val="0"/>
              <w:divBdr>
                <w:top w:val="none" w:sz="0" w:space="0" w:color="auto"/>
                <w:left w:val="none" w:sz="0" w:space="0" w:color="auto"/>
                <w:bottom w:val="none" w:sz="0" w:space="0" w:color="auto"/>
                <w:right w:val="none" w:sz="0" w:space="0" w:color="auto"/>
              </w:divBdr>
              <w:divsChild>
                <w:div w:id="230316179">
                  <w:marLeft w:val="0"/>
                  <w:marRight w:val="0"/>
                  <w:marTop w:val="0"/>
                  <w:marBottom w:val="0"/>
                  <w:divBdr>
                    <w:top w:val="none" w:sz="0" w:space="0" w:color="auto"/>
                    <w:left w:val="none" w:sz="0" w:space="0" w:color="auto"/>
                    <w:bottom w:val="none" w:sz="0" w:space="0" w:color="auto"/>
                    <w:right w:val="none" w:sz="0" w:space="0" w:color="auto"/>
                  </w:divBdr>
                  <w:divsChild>
                    <w:div w:id="209119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257569">
      <w:bodyDiv w:val="1"/>
      <w:marLeft w:val="0"/>
      <w:marRight w:val="0"/>
      <w:marTop w:val="0"/>
      <w:marBottom w:val="0"/>
      <w:divBdr>
        <w:top w:val="none" w:sz="0" w:space="0" w:color="auto"/>
        <w:left w:val="none" w:sz="0" w:space="0" w:color="auto"/>
        <w:bottom w:val="none" w:sz="0" w:space="0" w:color="auto"/>
        <w:right w:val="none" w:sz="0" w:space="0" w:color="auto"/>
      </w:divBdr>
    </w:div>
    <w:div w:id="1085033458">
      <w:bodyDiv w:val="1"/>
      <w:marLeft w:val="0"/>
      <w:marRight w:val="0"/>
      <w:marTop w:val="0"/>
      <w:marBottom w:val="0"/>
      <w:divBdr>
        <w:top w:val="none" w:sz="0" w:space="0" w:color="auto"/>
        <w:left w:val="none" w:sz="0" w:space="0" w:color="auto"/>
        <w:bottom w:val="none" w:sz="0" w:space="0" w:color="auto"/>
        <w:right w:val="none" w:sz="0" w:space="0" w:color="auto"/>
      </w:divBdr>
    </w:div>
    <w:div w:id="1196888344">
      <w:bodyDiv w:val="1"/>
      <w:marLeft w:val="0"/>
      <w:marRight w:val="0"/>
      <w:marTop w:val="0"/>
      <w:marBottom w:val="0"/>
      <w:divBdr>
        <w:top w:val="none" w:sz="0" w:space="0" w:color="auto"/>
        <w:left w:val="none" w:sz="0" w:space="0" w:color="auto"/>
        <w:bottom w:val="none" w:sz="0" w:space="0" w:color="auto"/>
        <w:right w:val="none" w:sz="0" w:space="0" w:color="auto"/>
      </w:divBdr>
      <w:divsChild>
        <w:div w:id="1505584777">
          <w:marLeft w:val="0"/>
          <w:marRight w:val="0"/>
          <w:marTop w:val="0"/>
          <w:marBottom w:val="0"/>
          <w:divBdr>
            <w:top w:val="none" w:sz="0" w:space="0" w:color="auto"/>
            <w:left w:val="none" w:sz="0" w:space="0" w:color="auto"/>
            <w:bottom w:val="none" w:sz="0" w:space="0" w:color="auto"/>
            <w:right w:val="none" w:sz="0" w:space="0" w:color="auto"/>
          </w:divBdr>
          <w:divsChild>
            <w:div w:id="1838960795">
              <w:marLeft w:val="0"/>
              <w:marRight w:val="0"/>
              <w:marTop w:val="0"/>
              <w:marBottom w:val="0"/>
              <w:divBdr>
                <w:top w:val="none" w:sz="0" w:space="0" w:color="auto"/>
                <w:left w:val="none" w:sz="0" w:space="0" w:color="auto"/>
                <w:bottom w:val="none" w:sz="0" w:space="0" w:color="auto"/>
                <w:right w:val="none" w:sz="0" w:space="0" w:color="auto"/>
              </w:divBdr>
              <w:divsChild>
                <w:div w:id="1297875047">
                  <w:marLeft w:val="0"/>
                  <w:marRight w:val="0"/>
                  <w:marTop w:val="0"/>
                  <w:marBottom w:val="0"/>
                  <w:divBdr>
                    <w:top w:val="none" w:sz="0" w:space="0" w:color="auto"/>
                    <w:left w:val="none" w:sz="0" w:space="0" w:color="auto"/>
                    <w:bottom w:val="none" w:sz="0" w:space="0" w:color="auto"/>
                    <w:right w:val="none" w:sz="0" w:space="0" w:color="auto"/>
                  </w:divBdr>
                  <w:divsChild>
                    <w:div w:id="48490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957197">
      <w:bodyDiv w:val="1"/>
      <w:marLeft w:val="0"/>
      <w:marRight w:val="0"/>
      <w:marTop w:val="0"/>
      <w:marBottom w:val="0"/>
      <w:divBdr>
        <w:top w:val="none" w:sz="0" w:space="0" w:color="auto"/>
        <w:left w:val="none" w:sz="0" w:space="0" w:color="auto"/>
        <w:bottom w:val="none" w:sz="0" w:space="0" w:color="auto"/>
        <w:right w:val="none" w:sz="0" w:space="0" w:color="auto"/>
      </w:divBdr>
    </w:div>
    <w:div w:id="1481069545">
      <w:bodyDiv w:val="1"/>
      <w:marLeft w:val="0"/>
      <w:marRight w:val="0"/>
      <w:marTop w:val="0"/>
      <w:marBottom w:val="0"/>
      <w:divBdr>
        <w:top w:val="none" w:sz="0" w:space="0" w:color="auto"/>
        <w:left w:val="none" w:sz="0" w:space="0" w:color="auto"/>
        <w:bottom w:val="none" w:sz="0" w:space="0" w:color="auto"/>
        <w:right w:val="none" w:sz="0" w:space="0" w:color="auto"/>
      </w:divBdr>
      <w:divsChild>
        <w:div w:id="470177739">
          <w:marLeft w:val="0"/>
          <w:marRight w:val="0"/>
          <w:marTop w:val="0"/>
          <w:marBottom w:val="0"/>
          <w:divBdr>
            <w:top w:val="none" w:sz="0" w:space="0" w:color="auto"/>
            <w:left w:val="none" w:sz="0" w:space="0" w:color="auto"/>
            <w:bottom w:val="none" w:sz="0" w:space="0" w:color="auto"/>
            <w:right w:val="none" w:sz="0" w:space="0" w:color="auto"/>
          </w:divBdr>
        </w:div>
        <w:div w:id="385034976">
          <w:marLeft w:val="0"/>
          <w:marRight w:val="0"/>
          <w:marTop w:val="0"/>
          <w:marBottom w:val="0"/>
          <w:divBdr>
            <w:top w:val="none" w:sz="0" w:space="0" w:color="auto"/>
            <w:left w:val="none" w:sz="0" w:space="0" w:color="auto"/>
            <w:bottom w:val="none" w:sz="0" w:space="0" w:color="auto"/>
            <w:right w:val="none" w:sz="0" w:space="0" w:color="auto"/>
          </w:divBdr>
        </w:div>
      </w:divsChild>
    </w:div>
    <w:div w:id="1553924503">
      <w:bodyDiv w:val="1"/>
      <w:marLeft w:val="0"/>
      <w:marRight w:val="0"/>
      <w:marTop w:val="0"/>
      <w:marBottom w:val="0"/>
      <w:divBdr>
        <w:top w:val="none" w:sz="0" w:space="0" w:color="auto"/>
        <w:left w:val="none" w:sz="0" w:space="0" w:color="auto"/>
        <w:bottom w:val="none" w:sz="0" w:space="0" w:color="auto"/>
        <w:right w:val="none" w:sz="0" w:space="0" w:color="auto"/>
      </w:divBdr>
    </w:div>
    <w:div w:id="1567910267">
      <w:bodyDiv w:val="1"/>
      <w:marLeft w:val="0"/>
      <w:marRight w:val="0"/>
      <w:marTop w:val="0"/>
      <w:marBottom w:val="0"/>
      <w:divBdr>
        <w:top w:val="none" w:sz="0" w:space="0" w:color="auto"/>
        <w:left w:val="none" w:sz="0" w:space="0" w:color="auto"/>
        <w:bottom w:val="none" w:sz="0" w:space="0" w:color="auto"/>
        <w:right w:val="none" w:sz="0" w:space="0" w:color="auto"/>
      </w:divBdr>
    </w:div>
    <w:div w:id="1615013551">
      <w:bodyDiv w:val="1"/>
      <w:marLeft w:val="0"/>
      <w:marRight w:val="0"/>
      <w:marTop w:val="0"/>
      <w:marBottom w:val="0"/>
      <w:divBdr>
        <w:top w:val="none" w:sz="0" w:space="0" w:color="auto"/>
        <w:left w:val="none" w:sz="0" w:space="0" w:color="auto"/>
        <w:bottom w:val="none" w:sz="0" w:space="0" w:color="auto"/>
        <w:right w:val="none" w:sz="0" w:space="0" w:color="auto"/>
      </w:divBdr>
    </w:div>
    <w:div w:id="1692487370">
      <w:bodyDiv w:val="1"/>
      <w:marLeft w:val="0"/>
      <w:marRight w:val="0"/>
      <w:marTop w:val="0"/>
      <w:marBottom w:val="0"/>
      <w:divBdr>
        <w:top w:val="none" w:sz="0" w:space="0" w:color="auto"/>
        <w:left w:val="none" w:sz="0" w:space="0" w:color="auto"/>
        <w:bottom w:val="none" w:sz="0" w:space="0" w:color="auto"/>
        <w:right w:val="none" w:sz="0" w:space="0" w:color="auto"/>
      </w:divBdr>
    </w:div>
    <w:div w:id="1751267817">
      <w:bodyDiv w:val="1"/>
      <w:marLeft w:val="0"/>
      <w:marRight w:val="0"/>
      <w:marTop w:val="0"/>
      <w:marBottom w:val="0"/>
      <w:divBdr>
        <w:top w:val="none" w:sz="0" w:space="0" w:color="auto"/>
        <w:left w:val="none" w:sz="0" w:space="0" w:color="auto"/>
        <w:bottom w:val="none" w:sz="0" w:space="0" w:color="auto"/>
        <w:right w:val="none" w:sz="0" w:space="0" w:color="auto"/>
      </w:divBdr>
      <w:divsChild>
        <w:div w:id="2112042864">
          <w:marLeft w:val="0"/>
          <w:marRight w:val="0"/>
          <w:marTop w:val="0"/>
          <w:marBottom w:val="0"/>
          <w:divBdr>
            <w:top w:val="none" w:sz="0" w:space="0" w:color="auto"/>
            <w:left w:val="none" w:sz="0" w:space="0" w:color="auto"/>
            <w:bottom w:val="none" w:sz="0" w:space="0" w:color="auto"/>
            <w:right w:val="none" w:sz="0" w:space="0" w:color="auto"/>
          </w:divBdr>
        </w:div>
      </w:divsChild>
    </w:div>
    <w:div w:id="1963270048">
      <w:bodyDiv w:val="1"/>
      <w:marLeft w:val="0"/>
      <w:marRight w:val="0"/>
      <w:marTop w:val="0"/>
      <w:marBottom w:val="0"/>
      <w:divBdr>
        <w:top w:val="none" w:sz="0" w:space="0" w:color="auto"/>
        <w:left w:val="none" w:sz="0" w:space="0" w:color="auto"/>
        <w:bottom w:val="none" w:sz="0" w:space="0" w:color="auto"/>
        <w:right w:val="none" w:sz="0" w:space="0" w:color="auto"/>
      </w:divBdr>
    </w:div>
    <w:div w:id="2006395365">
      <w:bodyDiv w:val="1"/>
      <w:marLeft w:val="0"/>
      <w:marRight w:val="0"/>
      <w:marTop w:val="0"/>
      <w:marBottom w:val="0"/>
      <w:divBdr>
        <w:top w:val="none" w:sz="0" w:space="0" w:color="auto"/>
        <w:left w:val="none" w:sz="0" w:space="0" w:color="auto"/>
        <w:bottom w:val="none" w:sz="0" w:space="0" w:color="auto"/>
        <w:right w:val="none" w:sz="0" w:space="0" w:color="auto"/>
      </w:divBdr>
    </w:div>
    <w:div w:id="211046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fhe.org" TargetMode="External"/><Relationship Id="rId18" Type="http://schemas.openxmlformats.org/officeDocument/2006/relationships/image" Target="media/image30.png"/><Relationship Id="rId26" Type="http://schemas.openxmlformats.org/officeDocument/2006/relationships/customXml" Target="../customXml/item4.xml"/><Relationship Id="rId3" Type="http://schemas.openxmlformats.org/officeDocument/2006/relationships/numbering" Target="numbering.xml"/><Relationship Id="rId21" Type="http://schemas.openxmlformats.org/officeDocument/2006/relationships/hyperlink" Target="http://www.cfhe.org"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10.png"/><Relationship Id="rId25"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5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4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customXml" Target="../customXml/item5.xml"/></Relationships>
</file>

<file path=word/_rels/endnotes.xml.rels><?xml version="1.0" encoding="UTF-8" standalone="yes"?>
<Relationships xmlns="http://schemas.openxmlformats.org/package/2006/relationships"><Relationship Id="rId8" Type="http://schemas.openxmlformats.org/officeDocument/2006/relationships/hyperlink" Target="https://www.has-sante.fr/upload/docs/application/pdf/2017-03/isolement_et_contention_en_psychiatrie_generale_-_recommandations_2017-03-13_10-13-59_378.pdf" TargetMode="External"/><Relationship Id="rId13" Type="http://schemas.openxmlformats.org/officeDocument/2006/relationships/hyperlink" Target="https://www.coe.int/fr/web/commissioner/-/france-persistent-discrimination-endangers-human-rights?%20" TargetMode="External"/><Relationship Id="rId3" Type="http://schemas.openxmlformats.org/officeDocument/2006/relationships/hyperlink" Target="https://handicap.gouv.fr/archives/ancienne-rub-autism/strategie-nationale-pour-l-autisme-2018-2022/" TargetMode="External"/><Relationship Id="rId7" Type="http://schemas.openxmlformats.org/officeDocument/2006/relationships/hyperlink" Target="http://www.irdes.fr/recherche/questions-d-economie-de-la-sante/222-les-soins-sans-consentement-en-psychiatrie.pdf" TargetMode="External"/><Relationship Id="rId12" Type="http://schemas.openxmlformats.org/officeDocument/2006/relationships/hyperlink" Target="https://www.education.gouv.fr/cid146418/comite-national-de-suivi-de-l-ecole-inclusive.html" TargetMode="External"/><Relationship Id="rId17" Type="http://schemas.openxmlformats.org/officeDocument/2006/relationships/hyperlink" Target="https://www.ameli.fr/fileadmin/user_upload/documents/Rapport_Charges_et_produits_pour_2020.pdf" TargetMode="External"/><Relationship Id="rId2" Type="http://schemas.openxmlformats.org/officeDocument/2006/relationships/hyperlink" Target="https://www.unicef.fr/dossier/convention-internationale-des-droits-de-lenfant" TargetMode="External"/><Relationship Id="rId16" Type="http://schemas.openxmlformats.org/officeDocument/2006/relationships/hyperlink" Target="https://www.google.com/url?sa=t&amp;rct=j&amp;q=&amp;esrc=s&amp;source=web&amp;cd=2&amp;ved=2ahUKEwi8t4O8iJfmAhXo1uAKHW7IC3oQFjABegQICxAH&amp;url=https%3A%2F%2Ftravail-emploi.gouv.fr%2FIMG%2Fpdf%2Fdp__handicap-et-emploi-050618.pdf&amp;usg=AOvVaw07rzVdWZVqfTFNRTIqibBF" TargetMode="External"/><Relationship Id="rId1" Type="http://schemas.openxmlformats.org/officeDocument/2006/relationships/hyperlink" Target="https://www.defenseurdesdroits.fr/fr/rapports-annuels/2019/03/rapport-annuel-dactivite-2018" TargetMode="External"/><Relationship Id="rId6" Type="http://schemas.openxmlformats.org/officeDocument/2006/relationships/hyperlink" Target="http://www.legislation.gov.uk/ukpga/2005/9/contents" TargetMode="External"/><Relationship Id="rId11" Type="http://schemas.openxmlformats.org/officeDocument/2006/relationships/hyperlink" Target="https://www.education.gouv.fr/cid146418/comite-national-de-suivi-de-l-ecole-inclusive.html" TargetMode="External"/><Relationship Id="rId5" Type="http://schemas.openxmlformats.org/officeDocument/2006/relationships/hyperlink" Target="http://www.justice.gouv.fr/la-garde-des-sceaux-10016/rapport-sur-levolution-de-la-protection-juridique-des-personnes-31802.html" TargetMode="External"/><Relationship Id="rId15" Type="http://schemas.openxmlformats.org/officeDocument/2006/relationships/hyperlink" Target="https://www.handifaction.fr/derniers-resultats/" TargetMode="External"/><Relationship Id="rId10" Type="http://schemas.openxmlformats.org/officeDocument/2006/relationships/hyperlink" Target="https://www.legifrance.gouv.fr/affichTexte.do?cidTexte=JORFTEXT000032788960&amp;categorieLien=id" TargetMode="External"/><Relationship Id="rId4" Type="http://schemas.openxmlformats.org/officeDocument/2006/relationships/hyperlink" Target="http://www2.ohchr.org/English/bodies/crc/docs/GC/CRC_C_GC_14_ENG.pdf" TargetMode="External"/><Relationship Id="rId9" Type="http://schemas.openxmlformats.org/officeDocument/2006/relationships/hyperlink" Target="https://www.vie-publique.fr/rapport/24395-rapport-sur-les-problemes-poses-par-les-pratiques-de-sterilisation-des-p" TargetMode="External"/><Relationship Id="rId14" Type="http://schemas.openxmlformats.org/officeDocument/2006/relationships/hyperlink" Target="https://www.handifaction.fr/derniers-resulta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ysClr val="window" lastClr="FFFFFF"/>
        </a:solidFill>
        <a:ln w="12700" cap="flat" cmpd="sng" algn="ctr">
          <a:solidFill>
            <a:srgbClr val="5B9BD5">
              <a:shade val="50000"/>
            </a:srgbClr>
          </a:solidFill>
          <a:prstDash val="solid"/>
          <a:miter lim="800000"/>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2020-08-01T00:00:00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85BC510C55434996A4FFA74D3926E3" ma:contentTypeVersion="0" ma:contentTypeDescription="Create a new document." ma:contentTypeScope="" ma:versionID="47af47dd5ac2a81c237a68766655cc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017EE6-1419-4F2E-8D65-0BE061120E4D}">
  <ds:schemaRefs>
    <ds:schemaRef ds:uri="http://schemas.openxmlformats.org/officeDocument/2006/bibliography"/>
  </ds:schemaRefs>
</ds:datastoreItem>
</file>

<file path=customXml/itemProps3.xml><?xml version="1.0" encoding="utf-8"?>
<ds:datastoreItem xmlns:ds="http://schemas.openxmlformats.org/officeDocument/2006/customXml" ds:itemID="{C3E30A53-7F8A-41AF-AFF9-357B08A44F5E}"/>
</file>

<file path=customXml/itemProps4.xml><?xml version="1.0" encoding="utf-8"?>
<ds:datastoreItem xmlns:ds="http://schemas.openxmlformats.org/officeDocument/2006/customXml" ds:itemID="{C42423F8-2D46-4FBD-AC2E-173E15296C85}"/>
</file>

<file path=customXml/itemProps5.xml><?xml version="1.0" encoding="utf-8"?>
<ds:datastoreItem xmlns:ds="http://schemas.openxmlformats.org/officeDocument/2006/customXml" ds:itemID="{8C54DD7A-1668-41FD-8F41-2D38590F0177}"/>
</file>

<file path=docProps/app.xml><?xml version="1.0" encoding="utf-8"?>
<Properties xmlns="http://schemas.openxmlformats.org/officeDocument/2006/extended-properties" xmlns:vt="http://schemas.openxmlformats.org/officeDocument/2006/docPropsVTypes">
  <Template>Normal.dotm</Template>
  <TotalTime>0</TotalTime>
  <Pages>44</Pages>
  <Words>12692</Words>
  <Characters>72349</Characters>
  <Application>Microsoft Office Word</Application>
  <DocSecurity>4</DocSecurity>
  <Lines>602</Lines>
  <Paragraphs>169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RAPPORT ALTERNATIF CONVENTION RELATIVE AUX DROITS DES PERSONNES HANDICAPEES</vt:lpstr>
      <vt:lpstr>RAPPORT ALTERNATIF CONVENTION RELATIVE AUX DROITS DES PERSONNES HANDICAPEES</vt:lpstr>
    </vt:vector>
  </TitlesOfParts>
  <Company>APF France Handicap</Company>
  <LinksUpToDate>false</LinksUpToDate>
  <CharactersWithSpaces>84872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ALTERNATIF CONVENTION RELATIVE AUX DROITS DES PERSONNES HANDICAPEES</dc:title>
  <dc:subject>Initié et coordonné par le Conseil Français des Personnes Handicapées pour les questions Européennes</dc:subject>
  <dc:creator>Intervenant</dc:creator>
  <cp:keywords/>
  <dc:description/>
  <cp:lastModifiedBy>OUKO Robert</cp:lastModifiedBy>
  <cp:revision>2</cp:revision>
  <cp:lastPrinted>2020-01-10T09:34:00Z</cp:lastPrinted>
  <dcterms:created xsi:type="dcterms:W3CDTF">2021-08-09T10:27:00Z</dcterms:created>
  <dcterms:modified xsi:type="dcterms:W3CDTF">2021-08-09T10:27:00Z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0x0101004085BC510C55434996A4FFA74D3926E3</vt:lpwstr>
  </property>
</Properties>
</file>